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60" w:lineRule="exact"/>
        <w:rPr>
          <w:rFonts w:eastAsia="仿宋_GB2312"/>
          <w:sz w:val="32"/>
          <w:szCs w:val="30"/>
        </w:rPr>
      </w:pPr>
      <w:r>
        <w:rPr>
          <w:rFonts w:eastAsia="仿宋_GB2312"/>
          <w:sz w:val="32"/>
          <w:szCs w:val="30"/>
        </w:rPr>
        <w:t>附件</w:t>
      </w:r>
      <w:r>
        <w:rPr>
          <w:rFonts w:hint="eastAsia" w:eastAsia="仿宋_GB2312"/>
          <w:sz w:val="32"/>
          <w:szCs w:val="30"/>
          <w:lang w:val="en-US" w:eastAsia="zh-CN"/>
        </w:rPr>
        <w:t>三</w:t>
      </w:r>
      <w:bookmarkStart w:id="1" w:name="_GoBack"/>
      <w:bookmarkEnd w:id="1"/>
      <w:r>
        <w:rPr>
          <w:rFonts w:eastAsia="仿宋_GB2312"/>
          <w:sz w:val="32"/>
          <w:szCs w:val="30"/>
        </w:rPr>
        <w:t>-3：</w:t>
      </w:r>
    </w:p>
    <w:p>
      <w:pPr>
        <w:widowControl/>
        <w:adjustRightInd w:val="0"/>
        <w:snapToGrid w:val="0"/>
        <w:spacing w:line="560" w:lineRule="exact"/>
        <w:rPr>
          <w:rFonts w:eastAsia="仿宋_GB2312"/>
          <w:sz w:val="32"/>
          <w:szCs w:val="30"/>
        </w:rPr>
      </w:pP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3" w:type="dxa"/>
            <w:vAlign w:val="center"/>
          </w:tcPr>
          <w:p>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选  题</w:t>
            </w:r>
          </w:p>
        </w:tc>
        <w:tc>
          <w:tcPr>
            <w:tcW w:w="2366" w:type="dxa"/>
            <w:vAlign w:val="center"/>
          </w:tcPr>
          <w:p>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kern w:val="0"/>
                <w:sz w:val="24"/>
                <w:lang w:val="en-GB"/>
              </w:rPr>
            </w:pPr>
            <w:r>
              <w:rPr>
                <w:rFonts w:eastAsia="仿宋_GB2312"/>
                <w:kern w:val="0"/>
                <w:sz w:val="24"/>
                <w:lang w:val="en-GB"/>
              </w:rPr>
              <w:t>1</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三维世界通用具身智能体的应用探索</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北京通用人工智能研究院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lang w:val="en-GB"/>
              </w:rPr>
            </w:pPr>
            <w:r>
              <w:rPr>
                <w:rFonts w:eastAsia="仿宋_GB2312"/>
                <w:kern w:val="0"/>
                <w:sz w:val="24"/>
                <w:lang w:val="en-GB"/>
              </w:rPr>
              <w:t>2</w:t>
            </w:r>
          </w:p>
        </w:tc>
        <w:tc>
          <w:tcPr>
            <w:tcW w:w="6235" w:type="dxa"/>
            <w:vAlign w:val="center"/>
          </w:tcPr>
          <w:p>
            <w:pPr>
              <w:widowControl/>
              <w:spacing w:line="400" w:lineRule="exact"/>
              <w:jc w:val="center"/>
              <w:textAlignment w:val="center"/>
              <w:rPr>
                <w:rFonts w:eastAsia="仿宋"/>
                <w:bCs/>
                <w:kern w:val="0"/>
                <w:sz w:val="24"/>
                <w:lang w:val="en-GB"/>
              </w:rPr>
            </w:pPr>
            <w:r>
              <w:rPr>
                <w:rFonts w:eastAsia="仿宋"/>
                <w:bCs/>
                <w:kern w:val="0"/>
                <w:sz w:val="24"/>
                <w:lang w:val="en-GB"/>
              </w:rPr>
              <w:t>集成光频梳激光雷达技术探索</w:t>
            </w:r>
          </w:p>
        </w:tc>
        <w:tc>
          <w:tcPr>
            <w:tcW w:w="2366" w:type="dxa"/>
            <w:vAlign w:val="center"/>
          </w:tcPr>
          <w:p>
            <w:pPr>
              <w:widowControl/>
              <w:adjustRightInd w:val="0"/>
              <w:snapToGrid w:val="0"/>
              <w:jc w:val="center"/>
              <w:rPr>
                <w:rFonts w:eastAsia="仿宋"/>
                <w:bCs/>
                <w:kern w:val="0"/>
                <w:sz w:val="24"/>
                <w:lang w:val="en-GB"/>
              </w:rPr>
            </w:pPr>
            <w:r>
              <w:rPr>
                <w:rFonts w:eastAsia="仿宋"/>
                <w:bCs/>
                <w:kern w:val="0"/>
                <w:sz w:val="24"/>
                <w:lang w:val="en-GB"/>
              </w:rPr>
              <w:t>北京遥测技术研究所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lang w:val="en-GB"/>
              </w:rPr>
            </w:pPr>
            <w:r>
              <w:rPr>
                <w:rFonts w:eastAsia="仿宋_GB2312"/>
                <w:kern w:val="0"/>
                <w:sz w:val="24"/>
                <w:lang w:val="en-GB"/>
              </w:rPr>
              <w:t>3</w:t>
            </w:r>
          </w:p>
        </w:tc>
        <w:tc>
          <w:tcPr>
            <w:tcW w:w="6235" w:type="dxa"/>
            <w:vAlign w:val="center"/>
          </w:tcPr>
          <w:p>
            <w:pPr>
              <w:widowControl/>
              <w:adjustRightInd w:val="0"/>
              <w:snapToGrid w:val="0"/>
              <w:jc w:val="center"/>
              <w:rPr>
                <w:rFonts w:eastAsia="仿宋"/>
                <w:bCs/>
                <w:kern w:val="0"/>
                <w:sz w:val="24"/>
                <w:lang w:val="en-GB"/>
              </w:rPr>
            </w:pPr>
            <w:r>
              <w:rPr>
                <w:rFonts w:eastAsia="仿宋"/>
                <w:bCs/>
                <w:kern w:val="0"/>
                <w:sz w:val="24"/>
                <w:lang w:val="en-GB"/>
              </w:rPr>
              <w:t>基于生成式AI的金融量化投资与风险管理解决方案</w:t>
            </w:r>
          </w:p>
        </w:tc>
        <w:tc>
          <w:tcPr>
            <w:tcW w:w="2366" w:type="dxa"/>
            <w:vAlign w:val="center"/>
          </w:tcPr>
          <w:p>
            <w:pPr>
              <w:widowControl/>
              <w:adjustRightInd w:val="0"/>
              <w:snapToGrid w:val="0"/>
              <w:jc w:val="center"/>
              <w:rPr>
                <w:rFonts w:eastAsia="仿宋"/>
                <w:bCs/>
                <w:kern w:val="0"/>
                <w:sz w:val="24"/>
                <w:lang w:val="en-GB"/>
              </w:rPr>
            </w:pPr>
            <w:r>
              <w:rPr>
                <w:rFonts w:eastAsia="仿宋"/>
                <w:bCs/>
                <w:kern w:val="0"/>
                <w:sz w:val="24"/>
                <w:lang w:val="en-GB"/>
              </w:rPr>
              <w:t>中关村互联网金融研究院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kern w:val="0"/>
                <w:sz w:val="24"/>
                <w:lang w:val="en-GB"/>
              </w:rPr>
            </w:pPr>
            <w:r>
              <w:rPr>
                <w:rFonts w:eastAsia="仿宋_GB2312"/>
                <w:kern w:val="0"/>
                <w:sz w:val="24"/>
                <w:lang w:val="en-GB"/>
              </w:rPr>
              <w:t>4</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AI大模型车载数字人助理</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kern w:val="0"/>
                <w:sz w:val="24"/>
                <w:lang w:val="en-GB"/>
              </w:rPr>
            </w:pPr>
            <w:r>
              <w:rPr>
                <w:rFonts w:eastAsia="仿宋_GB2312"/>
                <w:color w:val="000000"/>
                <w:kern w:val="0"/>
                <w:sz w:val="24"/>
                <w:lang w:val="en-GB"/>
              </w:rPr>
              <w:t>5</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完全重复使用航班化航天运输系统概念设计</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北京星河动力航天科技股份有限公司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lang w:val="en-GB"/>
              </w:rPr>
            </w:pPr>
            <w:r>
              <w:rPr>
                <w:rFonts w:eastAsia="仿宋_GB2312"/>
                <w:bCs/>
                <w:kern w:val="0"/>
                <w:sz w:val="24"/>
                <w:lang w:val="en-GB"/>
              </w:rPr>
              <w:t>6</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鸿蒙原生应用静态代码分析框架</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kern w:val="0"/>
                <w:sz w:val="24"/>
                <w:lang w:val="en-GB"/>
              </w:rPr>
            </w:pPr>
            <w:r>
              <w:rPr>
                <w:rFonts w:eastAsia="仿宋_GB2312"/>
                <w:bCs/>
                <w:kern w:val="0"/>
                <w:sz w:val="24"/>
                <w:lang w:val="en-GB"/>
              </w:rPr>
              <w:t>7</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基于AI大模型的PET图像智能诊断一体化解决方案</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赛诺联合医疗科技（北京）有限公司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rPr>
            </w:pPr>
            <w:r>
              <w:rPr>
                <w:rFonts w:eastAsia="仿宋_GB2312"/>
                <w:bCs/>
                <w:kern w:val="0"/>
                <w:sz w:val="24"/>
              </w:rPr>
              <w:t>8</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右心室流出道流场构型对复杂先心病治疗植入器械的影响评估</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北京佰仁医疗科技股份有限公司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rPr>
            </w:pPr>
            <w:r>
              <w:rPr>
                <w:rFonts w:eastAsia="仿宋_GB2312"/>
                <w:bCs/>
                <w:kern w:val="0"/>
                <w:sz w:val="24"/>
              </w:rPr>
              <w:t>9</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基于区块链技术的绿色能源金属来源的可追溯与认证机制</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九一金融信息服务</w:t>
            </w:r>
            <w:r>
              <w:rPr>
                <w:rFonts w:hint="eastAsia" w:eastAsia="仿宋"/>
                <w:kern w:val="0"/>
                <w:sz w:val="24"/>
                <w:lang w:val="en-GB"/>
              </w:rPr>
              <w:t>（</w:t>
            </w:r>
            <w:r>
              <w:rPr>
                <w:rFonts w:eastAsia="仿宋"/>
                <w:kern w:val="0"/>
                <w:sz w:val="24"/>
                <w:lang w:val="en-GB"/>
              </w:rPr>
              <w:t>北京</w:t>
            </w:r>
            <w:r>
              <w:rPr>
                <w:rFonts w:hint="eastAsia" w:eastAsia="仿宋"/>
                <w:kern w:val="0"/>
                <w:sz w:val="24"/>
                <w:lang w:val="en-GB"/>
              </w:rPr>
              <w:t>）</w:t>
            </w:r>
            <w:r>
              <w:rPr>
                <w:rFonts w:eastAsia="仿宋"/>
                <w:kern w:val="0"/>
                <w:sz w:val="24"/>
                <w:lang w:val="en-GB"/>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rPr>
            </w:pPr>
            <w:r>
              <w:rPr>
                <w:rFonts w:eastAsia="仿宋_GB2312"/>
                <w:bCs/>
                <w:kern w:val="0"/>
                <w:sz w:val="24"/>
              </w:rPr>
              <w:t>10</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基于大语言模型（LLM）与生成式人工智能的企业绿色专利技术支持系统</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北京吉比信科技有限公司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rPr>
            </w:pPr>
            <w:r>
              <w:rPr>
                <w:rFonts w:eastAsia="仿宋_GB2312"/>
                <w:bCs/>
                <w:kern w:val="0"/>
                <w:sz w:val="24"/>
              </w:rPr>
              <w:t>11</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智能网联汽车安全监测与防护系统</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国汽（北京）智能网联汽车研究院有限公司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eastAsia="仿宋_GB2312"/>
                <w:bCs/>
                <w:kern w:val="0"/>
                <w:sz w:val="24"/>
              </w:rPr>
            </w:pPr>
            <w:r>
              <w:rPr>
                <w:rFonts w:eastAsia="仿宋_GB2312"/>
                <w:bCs/>
                <w:kern w:val="0"/>
                <w:sz w:val="24"/>
              </w:rPr>
              <w:t>12</w:t>
            </w:r>
          </w:p>
        </w:tc>
        <w:tc>
          <w:tcPr>
            <w:tcW w:w="6235" w:type="dxa"/>
            <w:vAlign w:val="center"/>
          </w:tcPr>
          <w:p>
            <w:pPr>
              <w:widowControl/>
              <w:adjustRightInd w:val="0"/>
              <w:snapToGrid w:val="0"/>
              <w:jc w:val="center"/>
              <w:rPr>
                <w:rFonts w:eastAsia="仿宋"/>
                <w:kern w:val="0"/>
                <w:sz w:val="24"/>
                <w:lang w:val="en-GB"/>
              </w:rPr>
            </w:pPr>
            <w:r>
              <w:rPr>
                <w:rFonts w:eastAsia="仿宋"/>
                <w:kern w:val="0"/>
                <w:sz w:val="24"/>
                <w:lang w:val="en-GB"/>
              </w:rPr>
              <w:t>基于高通量测序和特征基因表达谱的重症传染病中药筛选与分析</w:t>
            </w:r>
          </w:p>
        </w:tc>
        <w:tc>
          <w:tcPr>
            <w:tcW w:w="2366" w:type="dxa"/>
            <w:vAlign w:val="center"/>
          </w:tcPr>
          <w:p>
            <w:pPr>
              <w:widowControl/>
              <w:adjustRightInd w:val="0"/>
              <w:snapToGrid w:val="0"/>
              <w:jc w:val="center"/>
              <w:rPr>
                <w:rFonts w:eastAsia="仿宋"/>
                <w:kern w:val="0"/>
                <w:sz w:val="24"/>
                <w:lang w:val="en-GB"/>
              </w:rPr>
            </w:pPr>
            <w:r>
              <w:rPr>
                <w:rFonts w:eastAsia="仿宋"/>
                <w:kern w:val="0"/>
                <w:sz w:val="24"/>
                <w:lang w:val="en-GB"/>
              </w:rPr>
              <w:t>百洋医药集团有限公司</w:t>
            </w:r>
          </w:p>
        </w:tc>
      </w:tr>
    </w:tbl>
    <w:p>
      <w:pPr>
        <w:widowControl/>
        <w:adjustRightInd w:val="0"/>
        <w:snapToGrid w:val="0"/>
        <w:jc w:val="center"/>
        <w:rPr>
          <w:rFonts w:eastAsia="仿宋"/>
          <w:kern w:val="0"/>
          <w:sz w:val="32"/>
          <w:szCs w:val="32"/>
        </w:rPr>
      </w:pPr>
      <w:r>
        <w:rPr>
          <w:rFonts w:eastAsia="仿宋"/>
          <w:kern w:val="0"/>
          <w:sz w:val="24"/>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-01</w:t>
      </w:r>
    </w:p>
    <w:p>
      <w:pPr>
        <w:widowControl/>
        <w:adjustRightInd w:val="0"/>
        <w:snapToGrid w:val="0"/>
        <w:rPr>
          <w:rFonts w:ascii="黑体" w:hAnsi="黑体" w:eastAsia="黑体" w:cs="黑体"/>
          <w:b/>
          <w:bCs/>
          <w:kern w:val="0"/>
          <w:sz w:val="24"/>
          <w:lang w:val="en-GB"/>
        </w:rPr>
      </w:pPr>
    </w:p>
    <w:p>
      <w:pPr>
        <w:widowControl/>
        <w:tabs>
          <w:tab w:val="left" w:pos="8640"/>
        </w:tabs>
        <w:adjustRightInd w:val="0"/>
        <w:snapToGrid w:val="0"/>
        <w:spacing w:line="56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97"/>
        <w:gridCol w:w="165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 xml:space="preserve">北京通用人工智能研究院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北京市海淀区颐和园路2号未来科技大厦东裙楼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rPr>
              <w:t>北京通用人工智能研究院（Beijing Institute for General Artificial Intelligence，简称BIGAI）是在北京市委市政府的指导和支持下，由北京市科委推动成立的非营利性世界一流新型研发机构。在北京市、科技部、教育部共同扶持下，与北京大学、清华大学等优势单位开展广泛合作，共同致力于在通用人工智能领域开展战略性、前瞻性、基础性科技创新，聚力打造具备人类核心认知能力的通用智能体，是建设北京国际科创中心的一支重要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68" w:type="dxa"/>
            <w:vAlign w:val="center"/>
          </w:tcPr>
          <w:p>
            <w:pPr>
              <w:widowControl/>
              <w:adjustRightInd w:val="0"/>
              <w:snapToGrid w:val="0"/>
              <w:ind w:firstLine="280" w:firstLineChars="100"/>
              <w:rPr>
                <w:rFonts w:eastAsia="楷体"/>
                <w:bCs/>
                <w:spacing w:val="6"/>
                <w:kern w:val="0"/>
                <w:sz w:val="24"/>
                <w:szCs w:val="28"/>
              </w:rPr>
            </w:pPr>
            <w:r>
              <w:rPr>
                <w:rFonts w:eastAsia="楷体"/>
                <w:kern w:val="0"/>
                <w:sz w:val="28"/>
                <w:szCs w:val="32"/>
              </w:rPr>
              <w:t>联系人</w:t>
            </w:r>
          </w:p>
        </w:tc>
        <w:tc>
          <w:tcPr>
            <w:tcW w:w="2497" w:type="dxa"/>
            <w:vAlign w:val="center"/>
          </w:tcPr>
          <w:p>
            <w:pPr>
              <w:widowControl/>
              <w:adjustRightInd w:val="0"/>
              <w:snapToGrid w:val="0"/>
              <w:jc w:val="center"/>
              <w:rPr>
                <w:rFonts w:eastAsia="仿宋"/>
                <w:bCs/>
                <w:spacing w:val="6"/>
                <w:kern w:val="0"/>
                <w:sz w:val="24"/>
                <w:szCs w:val="28"/>
              </w:rPr>
            </w:pPr>
            <w:r>
              <w:rPr>
                <w:rFonts w:eastAsia="仿宋"/>
                <w:kern w:val="0"/>
                <w:sz w:val="24"/>
              </w:rPr>
              <w:t>刘老师</w:t>
            </w:r>
          </w:p>
        </w:tc>
        <w:tc>
          <w:tcPr>
            <w:tcW w:w="1652"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方正仿宋简体"/>
                <w:kern w:val="0"/>
                <w:sz w:val="24"/>
              </w:rPr>
            </w:pPr>
            <w:r>
              <w:rPr>
                <w:rFonts w:eastAsia="仿宋"/>
                <w:kern w:val="0"/>
                <w:sz w:val="24"/>
              </w:rPr>
              <w:t>16600031170</w:t>
            </w:r>
          </w:p>
        </w:tc>
      </w:tr>
    </w:tbl>
    <w:p>
      <w:pPr>
        <w:widowControl/>
        <w:adjustRightInd w:val="0"/>
        <w:snapToGrid w:val="0"/>
        <w:jc w:val="left"/>
        <w:rPr>
          <w:rFonts w:eastAsia="黑体"/>
          <w:kern w:val="0"/>
          <w:sz w:val="32"/>
          <w:szCs w:val="32"/>
          <w:lang w:val="en-GB"/>
        </w:rPr>
      </w:pPr>
    </w:p>
    <w:p>
      <w:pPr>
        <w:widowControl/>
        <w:tabs>
          <w:tab w:val="left" w:pos="8640"/>
        </w:tabs>
        <w:adjustRightInd w:val="0"/>
        <w:snapToGrid w:val="0"/>
        <w:spacing w:line="56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三维世界通用具身智能体的应用探索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近日北京通用人工智能研究院提出了首个精通3D任务的具身智能体LEO（https://embodied-generalist.github.io/）。智能体LEO（狮子座）以大语言模型为基础，具备强大的三维场景感知能力，以及优异的视觉</w:t>
            </w:r>
            <w:r>
              <w:rPr>
                <w:rFonts w:hint="eastAsia" w:eastAsia="仿宋"/>
                <w:kern w:val="0"/>
                <w:sz w:val="24"/>
              </w:rPr>
              <w:t>－</w:t>
            </w:r>
            <w:r>
              <w:rPr>
                <w:rFonts w:eastAsia="仿宋"/>
                <w:kern w:val="0"/>
                <w:sz w:val="24"/>
              </w:rPr>
              <w:t>语言</w:t>
            </w:r>
            <w:r>
              <w:rPr>
                <w:rFonts w:hint="eastAsia" w:eastAsia="仿宋"/>
                <w:kern w:val="0"/>
                <w:sz w:val="24"/>
              </w:rPr>
              <w:t>－</w:t>
            </w:r>
            <w:r>
              <w:rPr>
                <w:rFonts w:eastAsia="仿宋"/>
                <w:kern w:val="0"/>
                <w:sz w:val="24"/>
              </w:rPr>
              <w:t>动作能力，可以完成感知、定位、推理、规划和动作执行等具身任务，为家庭陪伴机器人、家政服务机器人等新兴产业提供了智能算法基础。本课题诚邀优秀学子以具身智能体LEO为基础，设计、开发其实际落地的应用，挖掘具身智能的产业潜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机器人走进千家万户、提高百姓生活质量是科技从业者长久以来的梦想，而实现这一梦想的主要瓶颈之一在于家庭场景纷乱复杂，</w:t>
            </w:r>
            <w:r>
              <w:rPr>
                <w:rFonts w:hint="eastAsia" w:eastAsia="仿宋"/>
                <w:kern w:val="0"/>
                <w:sz w:val="24"/>
              </w:rPr>
              <w:t>涉及的</w:t>
            </w:r>
            <w:r>
              <w:rPr>
                <w:rFonts w:eastAsia="仿宋"/>
                <w:kern w:val="0"/>
                <w:sz w:val="24"/>
              </w:rPr>
              <w:t>识别、检测、描述、定位、操作等任务难度极大。具身智能体LEO在这些难题上已经取得了重要的突破，有了一些实际应用的潜力。我们预期学生提交的作品可以初步实现一个能够理解真实场景的智能产品，并能在专项赛结束后进一步发展成为能够切实提高百姓生活质量、具有实际商业价值的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学生提交的作品内容应为基于具身智能体LEO设计开发的应用程序，其具体呈现形式包括但不限于智能手机应用、计算机应用程序、微信小程序、机器人等。对于特别复杂的设计，可以仅实现其核心功能并辅以其余功能的设计和论证文档。我们将根据提交作品的完整性、新颖性、实用性、商业价值四个维度对参选作品评奖。</w:t>
            </w:r>
          </w:p>
        </w:tc>
      </w:tr>
    </w:tbl>
    <w:p>
      <w:pPr>
        <w:widowControl/>
        <w:adjustRightInd w:val="0"/>
        <w:snapToGrid w:val="0"/>
        <w:jc w:val="left"/>
        <w:rPr>
          <w:rFonts w:eastAsia="黑体"/>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通研院将为参赛团队提供相关的研究资料、LEO的模型参数及样例程序代码，并组织一次两小时的线上集中答疑。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优秀获奖团队成员将获得通研院实习及就业的优先推荐机会。</w:t>
            </w:r>
          </w:p>
        </w:tc>
      </w:tr>
    </w:tbl>
    <w:p>
      <w:pPr>
        <w:widowControl/>
        <w:adjustRightInd w:val="0"/>
        <w:snapToGrid w:val="0"/>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-02</w:t>
      </w:r>
    </w:p>
    <w:p>
      <w:pPr>
        <w:widowControl/>
        <w:adjustRightInd w:val="0"/>
        <w:snapToGrid w:val="0"/>
        <w:rPr>
          <w:rFonts w:eastAsia="方正黑体简体"/>
          <w:kern w:val="0"/>
          <w:sz w:val="24"/>
          <w:lang w:val="en-GB"/>
        </w:rPr>
      </w:pPr>
    </w:p>
    <w:p>
      <w:pPr>
        <w:widowControl/>
        <w:adjustRightInd w:val="0"/>
        <w:snapToGrid w:val="0"/>
        <w:jc w:val="center"/>
        <w:rPr>
          <w:rFonts w:eastAsia="Times New Roman"/>
          <w:kern w:val="0"/>
          <w:sz w:val="24"/>
          <w:lang w:val="en-GB"/>
        </w:rPr>
      </w:pPr>
    </w:p>
    <w:p>
      <w:pPr>
        <w:widowControl/>
        <w:tabs>
          <w:tab w:val="left" w:pos="8640"/>
        </w:tabs>
        <w:adjustRightInd w:val="0"/>
        <w:snapToGrid w:val="0"/>
        <w:spacing w:line="56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17"/>
        <w:gridCol w:w="153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北京遥测技术研究所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北京市海淀区丰滢东路1号院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北京遥测技术研究所创建于1957年，是新中国首批建立的航天电子信息技术专业研究所。历经六十余年发展，已从最初的单一遥测技术研究所，成长为多专业融合的航天电子信息系统大所。</w:t>
            </w:r>
          </w:p>
          <w:p>
            <w:pPr>
              <w:widowControl/>
              <w:adjustRightInd w:val="0"/>
              <w:snapToGrid w:val="0"/>
              <w:spacing w:line="400" w:lineRule="exact"/>
              <w:ind w:firstLine="480" w:firstLineChars="200"/>
              <w:jc w:val="left"/>
              <w:rPr>
                <w:rFonts w:eastAsia="方正仿宋简体"/>
                <w:bCs/>
                <w:spacing w:val="6"/>
                <w:kern w:val="0"/>
                <w:sz w:val="24"/>
                <w:szCs w:val="28"/>
                <w:lang w:val="en-GB"/>
              </w:rPr>
            </w:pPr>
            <w:r>
              <w:rPr>
                <w:rFonts w:eastAsia="仿宋"/>
                <w:kern w:val="0"/>
                <w:sz w:val="24"/>
              </w:rPr>
              <w:t>北京遥测技术研究所以人才为第一资源，不断夯实组织保障能力，形成了由3个技术研发中心、5个事业部、4个直属研究室、1个制造中心、2个产业化子公司构成的技术研究与产品研制组织体系。拥有在职员工2500余人，在聘院士3人，高级职称科技人员600余人，享受政府特殊津贴40余人，集团公司学术技术带头人40余人，航天各专业领域专家组成员超百人，获得全国技术能手、省部级及以上特殊荣誉的技能人才50余人，为北京遥测技术研究所高质量发展提供了强有力的组织与人力资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联系人</w:t>
            </w:r>
          </w:p>
        </w:tc>
        <w:tc>
          <w:tcPr>
            <w:tcW w:w="2617" w:type="dxa"/>
            <w:vAlign w:val="center"/>
          </w:tcPr>
          <w:p>
            <w:pPr>
              <w:widowControl/>
              <w:adjustRightInd w:val="0"/>
              <w:snapToGrid w:val="0"/>
              <w:jc w:val="center"/>
              <w:rPr>
                <w:rFonts w:eastAsia="仿宋"/>
                <w:kern w:val="0"/>
                <w:sz w:val="24"/>
              </w:rPr>
            </w:pPr>
            <w:r>
              <w:rPr>
                <w:rFonts w:eastAsia="仿宋"/>
                <w:kern w:val="0"/>
                <w:sz w:val="24"/>
              </w:rPr>
              <w:t>林老师</w:t>
            </w:r>
          </w:p>
          <w:p>
            <w:pPr>
              <w:widowControl/>
              <w:adjustRightInd w:val="0"/>
              <w:snapToGrid w:val="0"/>
              <w:jc w:val="center"/>
              <w:rPr>
                <w:rFonts w:eastAsia="方正仿宋简体"/>
                <w:bCs/>
                <w:spacing w:val="6"/>
                <w:kern w:val="0"/>
                <w:sz w:val="24"/>
                <w:szCs w:val="28"/>
              </w:rPr>
            </w:pPr>
            <w:r>
              <w:rPr>
                <w:rFonts w:eastAsia="仿宋"/>
                <w:kern w:val="0"/>
                <w:sz w:val="24"/>
              </w:rPr>
              <w:t>李老师</w:t>
            </w:r>
          </w:p>
        </w:tc>
        <w:tc>
          <w:tcPr>
            <w:tcW w:w="1532" w:type="dxa"/>
            <w:vAlign w:val="center"/>
          </w:tcPr>
          <w:p>
            <w:pPr>
              <w:widowControl/>
              <w:adjustRightInd w:val="0"/>
              <w:spacing w:line="560" w:lineRule="exact"/>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仿宋"/>
                <w:kern w:val="0"/>
                <w:sz w:val="24"/>
              </w:rPr>
            </w:pPr>
            <w:r>
              <w:rPr>
                <w:rFonts w:eastAsia="仿宋"/>
                <w:kern w:val="0"/>
                <w:sz w:val="24"/>
              </w:rPr>
              <w:t>010-68382308</w:t>
            </w:r>
          </w:p>
          <w:p>
            <w:pPr>
              <w:widowControl/>
              <w:adjustRightInd w:val="0"/>
              <w:snapToGrid w:val="0"/>
              <w:jc w:val="center"/>
              <w:rPr>
                <w:rFonts w:eastAsia="方正仿宋简体"/>
                <w:bCs/>
                <w:spacing w:val="6"/>
                <w:kern w:val="0"/>
                <w:sz w:val="24"/>
                <w:szCs w:val="28"/>
              </w:rPr>
            </w:pPr>
            <w:r>
              <w:rPr>
                <w:rFonts w:eastAsia="仿宋"/>
                <w:kern w:val="0"/>
                <w:sz w:val="24"/>
              </w:rPr>
              <w:t>010-88105688</w:t>
            </w:r>
          </w:p>
        </w:tc>
      </w:tr>
    </w:tbl>
    <w:p>
      <w:pPr>
        <w:widowControl/>
        <w:tabs>
          <w:tab w:val="left" w:pos="8640"/>
        </w:tabs>
        <w:adjustRightInd w:val="0"/>
        <w:snapToGrid w:val="0"/>
        <w:spacing w:line="560" w:lineRule="exact"/>
        <w:jc w:val="center"/>
        <w:rPr>
          <w:rFonts w:eastAsia="方正黑体简体"/>
          <w:bCs/>
          <w:spacing w:val="6"/>
          <w:kern w:val="0"/>
          <w:sz w:val="32"/>
          <w:szCs w:val="32"/>
          <w:lang w:val="en-GB"/>
        </w:rPr>
      </w:pPr>
    </w:p>
    <w:p>
      <w:pPr>
        <w:widowControl/>
        <w:tabs>
          <w:tab w:val="left" w:pos="8640"/>
        </w:tabs>
        <w:adjustRightInd w:val="0"/>
        <w:snapToGrid w:val="0"/>
        <w:spacing w:line="56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集成光频梳激光雷达技术探索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科学仪器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激光雷达作为信息科技产业前沿方向的核心技术，已成为人们获取位置速度信息、感知环境状态的重要手段，在主动遥感探测、大气监测、自动驾驶及虚拟现实等领域有着广泛应用。目前基于集成光频梳技术的集成光子学激光雷达采用高度集成的片上光源、光波导器件和信息采集处理单元已实现近距离高分辨率并行激光探测，具备广泛应用潜力。</w:t>
            </w:r>
          </w:p>
          <w:p>
            <w:pPr>
              <w:widowControl/>
              <w:adjustRightInd w:val="0"/>
              <w:spacing w:line="400" w:lineRule="exact"/>
              <w:ind w:firstLine="480" w:firstLineChars="200"/>
              <w:jc w:val="left"/>
              <w:rPr>
                <w:rFonts w:eastAsia="仿宋"/>
                <w:kern w:val="0"/>
                <w:sz w:val="24"/>
              </w:rPr>
            </w:pPr>
            <w:r>
              <w:rPr>
                <w:rFonts w:eastAsia="仿宋"/>
                <w:kern w:val="0"/>
                <w:sz w:val="24"/>
              </w:rPr>
              <w:t>集成光频梳技术通过光波导的微腔结构对输入的连续光和脉冲光等进行调制，调控腔内状态谐振产生高相干频域梳状脉冲。集成光频梳技术及其激光雷达应用交叉融合光电子、材料、集成电路等学科知识，发展至今仍有许多有趣的探索方向。一是探索适于激光雷达应用的集成光频梳材料平台。硅、氮化硅、铌酸锂等不同材料平台已展现出各异的表现，兼具产生大能量脉冲和具备高速调制能力的材料平台有待研究。二是探索适于特定应用领域的集成光频梳激光雷达技术架构。针对激光雷达主动遥感探测的国家重大需求，进行研究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1.推进激光雷达技术集成化、小型化发展，</w:t>
            </w:r>
            <w:r>
              <w:rPr>
                <w:rFonts w:hint="eastAsia" w:eastAsia="仿宋"/>
                <w:kern w:val="0"/>
                <w:sz w:val="24"/>
              </w:rPr>
              <w:t>更好地服务</w:t>
            </w:r>
            <w:r>
              <w:rPr>
                <w:rFonts w:eastAsia="仿宋"/>
                <w:kern w:val="0"/>
                <w:sz w:val="24"/>
              </w:rPr>
              <w:t>国家主动遥感探测的重大需求</w:t>
            </w:r>
          </w:p>
          <w:p>
            <w:pPr>
              <w:widowControl/>
              <w:adjustRightInd w:val="0"/>
              <w:spacing w:line="400" w:lineRule="exact"/>
              <w:ind w:firstLine="480" w:firstLineChars="200"/>
              <w:jc w:val="left"/>
              <w:rPr>
                <w:rFonts w:eastAsia="仿宋"/>
                <w:kern w:val="0"/>
                <w:sz w:val="24"/>
              </w:rPr>
            </w:pPr>
            <w:r>
              <w:rPr>
                <w:rFonts w:eastAsia="仿宋"/>
                <w:kern w:val="0"/>
                <w:sz w:val="24"/>
              </w:rPr>
              <w:t>2.紧扣激光雷达技术学术创新和工程应用交汇点，促进产教融合发展</w:t>
            </w:r>
          </w:p>
          <w:p>
            <w:pPr>
              <w:widowControl/>
              <w:adjustRightInd w:val="0"/>
              <w:spacing w:line="400" w:lineRule="exact"/>
              <w:ind w:firstLine="480" w:firstLineChars="200"/>
              <w:jc w:val="left"/>
              <w:rPr>
                <w:rFonts w:eastAsia="仿宋"/>
                <w:kern w:val="0"/>
                <w:sz w:val="24"/>
              </w:rPr>
            </w:pPr>
            <w:r>
              <w:rPr>
                <w:rFonts w:eastAsia="仿宋"/>
                <w:kern w:val="0"/>
                <w:sz w:val="24"/>
              </w:rPr>
              <w:t>3.带动硅光子学等集成光电子器件产业发展，响应北京市</w:t>
            </w:r>
            <w:r>
              <w:rPr>
                <w:rFonts w:hint="eastAsia" w:eastAsia="仿宋"/>
                <w:kern w:val="0"/>
                <w:sz w:val="24"/>
              </w:rPr>
              <w:t>“</w:t>
            </w:r>
            <w:r>
              <w:rPr>
                <w:rFonts w:eastAsia="仿宋"/>
                <w:kern w:val="0"/>
                <w:sz w:val="24"/>
              </w:rPr>
              <w:t>十四五</w:t>
            </w:r>
            <w:r>
              <w:rPr>
                <w:rFonts w:hint="eastAsia" w:eastAsia="仿宋"/>
                <w:kern w:val="0"/>
                <w:sz w:val="24"/>
              </w:rPr>
              <w:t>”</w:t>
            </w:r>
            <w:r>
              <w:rPr>
                <w:rFonts w:eastAsia="仿宋"/>
                <w:kern w:val="0"/>
                <w:sz w:val="24"/>
              </w:rPr>
              <w:t>时期高精尖产业发展规划前沿布局要求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(1) 评选标准</w:t>
            </w:r>
          </w:p>
          <w:p>
            <w:pPr>
              <w:widowControl/>
              <w:adjustRightInd w:val="0"/>
              <w:spacing w:line="400" w:lineRule="exact"/>
              <w:ind w:firstLine="480" w:firstLineChars="200"/>
              <w:jc w:val="left"/>
              <w:rPr>
                <w:rFonts w:eastAsia="仿宋"/>
                <w:kern w:val="0"/>
                <w:sz w:val="24"/>
              </w:rPr>
            </w:pPr>
            <w:r>
              <w:rPr>
                <w:rFonts w:eastAsia="仿宋"/>
                <w:kern w:val="0"/>
                <w:sz w:val="24"/>
              </w:rPr>
              <w:t>创新性：作品在解决选题时的独特性和创造性。</w:t>
            </w:r>
          </w:p>
          <w:p>
            <w:pPr>
              <w:widowControl/>
              <w:adjustRightInd w:val="0"/>
              <w:spacing w:line="400" w:lineRule="exact"/>
              <w:ind w:firstLine="480" w:firstLineChars="200"/>
              <w:jc w:val="left"/>
              <w:rPr>
                <w:rFonts w:eastAsia="仿宋"/>
                <w:kern w:val="0"/>
                <w:sz w:val="24"/>
              </w:rPr>
            </w:pPr>
            <w:r>
              <w:rPr>
                <w:rFonts w:eastAsia="仿宋"/>
                <w:kern w:val="0"/>
                <w:sz w:val="24"/>
              </w:rPr>
              <w:t>实用性：作品的实际应用价值和解决现实问题的能力。</w:t>
            </w:r>
          </w:p>
          <w:p>
            <w:pPr>
              <w:widowControl/>
              <w:adjustRightInd w:val="0"/>
              <w:spacing w:line="400" w:lineRule="exact"/>
              <w:ind w:firstLine="480" w:firstLineChars="200"/>
              <w:jc w:val="left"/>
              <w:rPr>
                <w:rFonts w:eastAsia="仿宋"/>
                <w:kern w:val="0"/>
                <w:sz w:val="24"/>
              </w:rPr>
            </w:pPr>
            <w:r>
              <w:rPr>
                <w:rFonts w:eastAsia="仿宋"/>
                <w:kern w:val="0"/>
                <w:sz w:val="24"/>
              </w:rPr>
              <w:t>可行性：作品的可行性，包括技术可行性、实施计划的合理性等。</w:t>
            </w:r>
          </w:p>
          <w:p>
            <w:pPr>
              <w:widowControl/>
              <w:adjustRightInd w:val="0"/>
              <w:spacing w:line="400" w:lineRule="exact"/>
              <w:ind w:firstLine="480" w:firstLineChars="200"/>
              <w:jc w:val="left"/>
              <w:rPr>
                <w:rFonts w:eastAsia="仿宋"/>
                <w:kern w:val="0"/>
                <w:sz w:val="24"/>
              </w:rPr>
            </w:pPr>
            <w:r>
              <w:rPr>
                <w:rFonts w:eastAsia="仿宋"/>
                <w:kern w:val="0"/>
                <w:sz w:val="24"/>
              </w:rPr>
              <w:t>逻辑性：作品解决方案应逻辑清晰、表达明确。</w:t>
            </w:r>
          </w:p>
          <w:p>
            <w:pPr>
              <w:widowControl/>
              <w:adjustRightInd w:val="0"/>
              <w:spacing w:line="400" w:lineRule="exact"/>
              <w:ind w:firstLine="480" w:firstLineChars="200"/>
              <w:jc w:val="left"/>
              <w:rPr>
                <w:rFonts w:eastAsia="仿宋"/>
                <w:kern w:val="0"/>
                <w:sz w:val="24"/>
              </w:rPr>
            </w:pPr>
            <w:r>
              <w:rPr>
                <w:rFonts w:eastAsia="仿宋"/>
                <w:kern w:val="0"/>
                <w:sz w:val="24"/>
              </w:rPr>
              <w:t>规范性：作品解决方案应符合基本学术规范要求。</w:t>
            </w:r>
          </w:p>
          <w:p>
            <w:pPr>
              <w:widowControl/>
              <w:adjustRightInd w:val="0"/>
              <w:spacing w:line="400" w:lineRule="exact"/>
              <w:ind w:firstLine="480" w:firstLineChars="200"/>
              <w:jc w:val="left"/>
              <w:rPr>
                <w:rFonts w:eastAsia="仿宋"/>
                <w:kern w:val="0"/>
                <w:sz w:val="24"/>
              </w:rPr>
            </w:pPr>
            <w:r>
              <w:rPr>
                <w:rFonts w:eastAsia="仿宋"/>
                <w:kern w:val="0"/>
                <w:sz w:val="24"/>
              </w:rPr>
              <w:t>团队性：参赛团队成员之间的协作能力。</w:t>
            </w:r>
          </w:p>
          <w:p>
            <w:pPr>
              <w:widowControl/>
              <w:adjustRightInd w:val="0"/>
              <w:spacing w:line="400" w:lineRule="exact"/>
              <w:ind w:firstLine="480" w:firstLineChars="200"/>
              <w:jc w:val="left"/>
              <w:rPr>
                <w:rFonts w:eastAsia="仿宋"/>
                <w:kern w:val="0"/>
                <w:sz w:val="24"/>
              </w:rPr>
            </w:pPr>
            <w:r>
              <w:rPr>
                <w:rFonts w:eastAsia="仿宋"/>
                <w:kern w:val="0"/>
                <w:sz w:val="24"/>
              </w:rPr>
              <w:t>(2) 作品提报要求</w:t>
            </w:r>
          </w:p>
          <w:p>
            <w:pPr>
              <w:widowControl/>
              <w:adjustRightInd w:val="0"/>
              <w:spacing w:line="400" w:lineRule="exact"/>
              <w:ind w:firstLine="480" w:firstLineChars="200"/>
              <w:jc w:val="left"/>
              <w:rPr>
                <w:rFonts w:eastAsia="仿宋"/>
                <w:kern w:val="0"/>
                <w:sz w:val="24"/>
              </w:rPr>
            </w:pPr>
            <w:r>
              <w:rPr>
                <w:rFonts w:eastAsia="仿宋"/>
                <w:kern w:val="0"/>
                <w:sz w:val="24"/>
              </w:rPr>
              <w:t>形式：科技学术论文或研究报告，以word版和PPT版呈现。</w:t>
            </w:r>
          </w:p>
          <w:p>
            <w:pPr>
              <w:widowControl/>
              <w:adjustRightInd w:val="0"/>
              <w:spacing w:line="400" w:lineRule="exact"/>
              <w:ind w:firstLine="480" w:firstLineChars="200"/>
              <w:jc w:val="left"/>
              <w:rPr>
                <w:rFonts w:eastAsia="仿宋"/>
                <w:kern w:val="0"/>
                <w:sz w:val="24"/>
              </w:rPr>
            </w:pPr>
            <w:r>
              <w:rPr>
                <w:rFonts w:eastAsia="仿宋"/>
                <w:kern w:val="0"/>
                <w:sz w:val="24"/>
              </w:rPr>
              <w:t>要求：应包含题目（结合选题和项目自身特点另拟）、团队简介（含成员介绍及分工等）、研究背景、研究内容、技术路线、创新优势、下一步展望以及成果总结等部分。论文报告字数限制在15000字以内。PPT页数不超过40页。</w:t>
            </w:r>
          </w:p>
          <w:p>
            <w:pPr>
              <w:widowControl/>
              <w:adjustRightInd w:val="0"/>
              <w:spacing w:line="400" w:lineRule="exact"/>
              <w:ind w:firstLine="480" w:firstLineChars="200"/>
              <w:jc w:val="left"/>
              <w:rPr>
                <w:rFonts w:eastAsia="仿宋"/>
                <w:kern w:val="0"/>
                <w:sz w:val="24"/>
              </w:rPr>
            </w:pPr>
            <w:r>
              <w:rPr>
                <w:rFonts w:eastAsia="仿宋"/>
                <w:kern w:val="0"/>
                <w:sz w:val="24"/>
              </w:rPr>
              <w:t>(3) 优劣标准</w:t>
            </w:r>
          </w:p>
          <w:p>
            <w:pPr>
              <w:widowControl/>
              <w:adjustRightInd w:val="0"/>
              <w:spacing w:line="400" w:lineRule="exact"/>
              <w:ind w:firstLine="480" w:firstLineChars="200"/>
              <w:jc w:val="left"/>
              <w:rPr>
                <w:rFonts w:eastAsia="仿宋"/>
                <w:kern w:val="0"/>
                <w:sz w:val="24"/>
              </w:rPr>
            </w:pPr>
            <w:r>
              <w:rPr>
                <w:rFonts w:eastAsia="仿宋"/>
                <w:kern w:val="0"/>
                <w:sz w:val="24"/>
              </w:rPr>
              <w:t>优秀作品：拥有独特的创意和解决方案，实用性强，技术水平高，论证清晰，团队协作密切。</w:t>
            </w:r>
          </w:p>
          <w:p>
            <w:pPr>
              <w:widowControl/>
              <w:adjustRightInd w:val="0"/>
              <w:spacing w:line="400" w:lineRule="exact"/>
              <w:ind w:firstLine="480" w:firstLineChars="200"/>
              <w:jc w:val="left"/>
              <w:rPr>
                <w:rFonts w:eastAsia="仿宋"/>
                <w:kern w:val="0"/>
                <w:sz w:val="24"/>
              </w:rPr>
            </w:pPr>
            <w:r>
              <w:rPr>
                <w:rFonts w:eastAsia="仿宋"/>
                <w:kern w:val="0"/>
                <w:sz w:val="24"/>
              </w:rPr>
              <w:t>良好作品：能够解决选定问题，表达清晰，有一定创新点，可行性较高，团队协作较好。</w:t>
            </w:r>
          </w:p>
          <w:p>
            <w:pPr>
              <w:widowControl/>
              <w:adjustRightInd w:val="0"/>
              <w:spacing w:line="400" w:lineRule="exact"/>
              <w:ind w:firstLine="480" w:firstLineChars="200"/>
              <w:jc w:val="left"/>
              <w:rPr>
                <w:rFonts w:eastAsia="仿宋"/>
                <w:kern w:val="0"/>
                <w:sz w:val="24"/>
              </w:rPr>
            </w:pPr>
            <w:r>
              <w:rPr>
                <w:rFonts w:eastAsia="仿宋"/>
                <w:kern w:val="0"/>
                <w:sz w:val="24"/>
              </w:rPr>
              <w:t>待提升作品：存在一些问题，解决方案尚不够完善，表达和论证需要加强，技术实现有待改进，团队协作欠佳。</w:t>
            </w:r>
          </w:p>
        </w:tc>
      </w:tr>
    </w:tbl>
    <w:p>
      <w:pPr>
        <w:widowControl/>
        <w:tabs>
          <w:tab w:val="left" w:pos="8640"/>
        </w:tabs>
        <w:adjustRightInd w:val="0"/>
        <w:snapToGrid w:val="0"/>
        <w:spacing w:line="440" w:lineRule="exact"/>
        <w:rPr>
          <w:rFonts w:eastAsia="方正黑体简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单位将提供研究相关研究资料材料，确保参赛者充分掌握研究背景、需求和应用情况。可为参赛团队成员提供线上答疑解惑。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所有获奖者均可参加本单位实习实践，优先录用并享受人才引进政策相关待遇。</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-03</w:t>
      </w:r>
    </w:p>
    <w:p>
      <w:pPr>
        <w:widowControl/>
        <w:adjustRightInd w:val="0"/>
        <w:snapToGrid w:val="0"/>
        <w:spacing w:line="368" w:lineRule="auto"/>
        <w:rPr>
          <w:rFonts w:eastAsia="Times New Roman"/>
          <w:kern w:val="0"/>
          <w:sz w:val="24"/>
          <w:lang w:val="en-GB"/>
        </w:rPr>
      </w:pPr>
    </w:p>
    <w:p>
      <w:pPr>
        <w:widowControl/>
        <w:tabs>
          <w:tab w:val="left" w:pos="8640"/>
        </w:tabs>
        <w:adjustRightInd w:val="0"/>
        <w:snapToGrid w:val="0"/>
        <w:spacing w:line="56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24"/>
        <w:tblW w:w="8486"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2"/>
        <w:gridCol w:w="2418"/>
        <w:gridCol w:w="1574"/>
        <w:gridCol w:w="3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452" w:type="dxa"/>
          </w:tcPr>
          <w:p>
            <w:pPr>
              <w:adjustRightInd w:val="0"/>
              <w:snapToGrid w:val="0"/>
              <w:spacing w:before="195" w:line="220" w:lineRule="auto"/>
              <w:ind w:left="95"/>
              <w:jc w:val="center"/>
              <w:rPr>
                <w:rFonts w:eastAsia="楷体"/>
                <w:sz w:val="28"/>
                <w:szCs w:val="32"/>
                <w:lang w:val="en-GB"/>
              </w:rPr>
            </w:pPr>
            <w:r>
              <w:rPr>
                <w:rFonts w:eastAsia="楷体"/>
                <w:sz w:val="28"/>
                <w:szCs w:val="32"/>
                <w:lang w:val="en-GB"/>
              </w:rPr>
              <w:t>单位名称</w:t>
            </w:r>
          </w:p>
        </w:tc>
        <w:tc>
          <w:tcPr>
            <w:tcW w:w="7034" w:type="dxa"/>
            <w:gridSpan w:val="3"/>
          </w:tcPr>
          <w:p>
            <w:pPr>
              <w:adjustRightInd w:val="0"/>
              <w:snapToGrid w:val="0"/>
              <w:spacing w:before="193" w:line="219" w:lineRule="auto"/>
              <w:jc w:val="center"/>
              <w:rPr>
                <w:rFonts w:eastAsia="仿宋"/>
                <w:sz w:val="24"/>
                <w:lang w:val="en-GB"/>
              </w:rPr>
            </w:pPr>
            <w:r>
              <w:rPr>
                <w:rFonts w:eastAsia="仿宋"/>
                <w:sz w:val="24"/>
                <w:lang w:val="en-GB"/>
              </w:rPr>
              <w:t>中关村互联网金融研究院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452" w:type="dxa"/>
          </w:tcPr>
          <w:p>
            <w:pPr>
              <w:adjustRightInd w:val="0"/>
              <w:snapToGrid w:val="0"/>
              <w:spacing w:before="170" w:line="219" w:lineRule="auto"/>
              <w:ind w:left="95"/>
              <w:jc w:val="center"/>
              <w:rPr>
                <w:rFonts w:eastAsia="楷体"/>
                <w:sz w:val="28"/>
                <w:szCs w:val="32"/>
                <w:lang w:val="en-GB"/>
              </w:rPr>
            </w:pPr>
            <w:r>
              <w:rPr>
                <w:rFonts w:eastAsia="楷体"/>
                <w:sz w:val="28"/>
                <w:szCs w:val="32"/>
                <w:lang w:val="en-GB"/>
              </w:rPr>
              <w:t>单位类型</w:t>
            </w:r>
          </w:p>
        </w:tc>
        <w:tc>
          <w:tcPr>
            <w:tcW w:w="7034" w:type="dxa"/>
            <w:gridSpan w:val="3"/>
          </w:tcPr>
          <w:p>
            <w:pPr>
              <w:adjustRightInd w:val="0"/>
              <w:snapToGrid w:val="0"/>
              <w:spacing w:before="168" w:line="219" w:lineRule="auto"/>
              <w:jc w:val="center"/>
              <w:rPr>
                <w:rFonts w:eastAsia="仿宋"/>
                <w:sz w:val="24"/>
                <w:lang w:val="en-GB"/>
              </w:rPr>
            </w:pPr>
            <w:r>
              <w:rPr>
                <w:rFonts w:eastAsia="仿宋"/>
                <w:sz w:val="24"/>
                <w:lang w:val="en-GB"/>
              </w:rPr>
              <w:t>社会组织</w:t>
            </w:r>
            <w:r>
              <w:rPr>
                <w:rFonts w:hint="eastAsia" w:eastAsia="仿宋"/>
                <w:sz w:val="24"/>
                <w:lang w:val="en-GB"/>
              </w:rPr>
              <w:t>（</w:t>
            </w:r>
            <w:r>
              <w:rPr>
                <w:rFonts w:eastAsia="仿宋"/>
                <w:sz w:val="24"/>
                <w:lang w:val="en-GB"/>
              </w:rPr>
              <w:t>民办非企业</w:t>
            </w:r>
            <w:r>
              <w:rPr>
                <w:rFonts w:hint="eastAsia" w:eastAsia="仿宋"/>
                <w:sz w:val="24"/>
                <w:lang w:val="en-G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52" w:type="dxa"/>
          </w:tcPr>
          <w:p>
            <w:pPr>
              <w:adjustRightInd w:val="0"/>
              <w:snapToGrid w:val="0"/>
              <w:spacing w:before="212" w:line="229" w:lineRule="auto"/>
              <w:ind w:left="95"/>
              <w:jc w:val="center"/>
              <w:rPr>
                <w:rFonts w:eastAsia="楷体"/>
                <w:sz w:val="28"/>
                <w:szCs w:val="32"/>
                <w:lang w:val="en-GB"/>
              </w:rPr>
            </w:pPr>
            <w:r>
              <w:rPr>
                <w:rFonts w:eastAsia="楷体"/>
                <w:sz w:val="28"/>
                <w:szCs w:val="32"/>
                <w:lang w:val="en-GB"/>
              </w:rPr>
              <w:t>地址</w:t>
            </w:r>
          </w:p>
        </w:tc>
        <w:tc>
          <w:tcPr>
            <w:tcW w:w="7034" w:type="dxa"/>
            <w:gridSpan w:val="3"/>
          </w:tcPr>
          <w:p>
            <w:pPr>
              <w:adjustRightInd w:val="0"/>
              <w:snapToGrid w:val="0"/>
              <w:spacing w:before="201" w:line="219" w:lineRule="auto"/>
              <w:jc w:val="center"/>
              <w:rPr>
                <w:rFonts w:eastAsia="仿宋"/>
                <w:sz w:val="24"/>
                <w:lang w:val="en-GB"/>
              </w:rPr>
            </w:pPr>
            <w:r>
              <w:rPr>
                <w:rFonts w:eastAsia="仿宋"/>
                <w:sz w:val="24"/>
                <w:lang w:val="en-GB"/>
              </w:rPr>
              <w:t>北京市海淀区高梁桥斜街42号院1号楼4层1-405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3" w:hRule="atLeast"/>
        </w:trPr>
        <w:tc>
          <w:tcPr>
            <w:tcW w:w="1452" w:type="dxa"/>
          </w:tcPr>
          <w:p>
            <w:pPr>
              <w:widowControl/>
              <w:adjustRightInd w:val="0"/>
              <w:spacing w:line="560" w:lineRule="exact"/>
              <w:jc w:val="center"/>
              <w:rPr>
                <w:rFonts w:eastAsia="楷体"/>
                <w:kern w:val="0"/>
                <w:sz w:val="28"/>
                <w:szCs w:val="32"/>
                <w:lang w:val="en-GB"/>
              </w:rPr>
            </w:pPr>
          </w:p>
          <w:p>
            <w:pPr>
              <w:widowControl/>
              <w:adjustRightInd w:val="0"/>
              <w:spacing w:line="560" w:lineRule="exact"/>
              <w:rPr>
                <w:rFonts w:eastAsia="楷体"/>
                <w:kern w:val="0"/>
                <w:sz w:val="28"/>
                <w:szCs w:val="32"/>
                <w:lang w:val="en-GB"/>
              </w:rPr>
            </w:pPr>
          </w:p>
          <w:p>
            <w:pPr>
              <w:widowControl/>
              <w:adjustRightInd w:val="0"/>
              <w:spacing w:line="560" w:lineRule="exact"/>
              <w:jc w:val="center"/>
              <w:rPr>
                <w:rFonts w:eastAsia="楷体"/>
                <w:kern w:val="0"/>
                <w:sz w:val="28"/>
                <w:szCs w:val="32"/>
                <w:lang w:val="en-GB"/>
              </w:rPr>
            </w:pPr>
          </w:p>
          <w:p>
            <w:pPr>
              <w:widowControl/>
              <w:adjustRightInd w:val="0"/>
              <w:spacing w:line="560" w:lineRule="exact"/>
              <w:jc w:val="center"/>
              <w:rPr>
                <w:rFonts w:eastAsia="楷体"/>
                <w:kern w:val="0"/>
                <w:sz w:val="28"/>
                <w:szCs w:val="32"/>
                <w:lang w:val="en-GB"/>
              </w:rPr>
            </w:pPr>
          </w:p>
          <w:p>
            <w:pPr>
              <w:widowControl/>
              <w:adjustRightInd w:val="0"/>
              <w:spacing w:line="560" w:lineRule="exact"/>
              <w:jc w:val="center"/>
              <w:rPr>
                <w:rFonts w:eastAsia="楷体"/>
                <w:kern w:val="0"/>
                <w:sz w:val="28"/>
                <w:szCs w:val="32"/>
                <w:lang w:val="en-GB"/>
              </w:rPr>
            </w:pPr>
          </w:p>
          <w:p>
            <w:pPr>
              <w:widowControl/>
              <w:adjustRightInd w:val="0"/>
              <w:spacing w:line="560" w:lineRule="exact"/>
              <w:rPr>
                <w:rFonts w:eastAsia="楷体"/>
                <w:kern w:val="0"/>
                <w:sz w:val="28"/>
                <w:szCs w:val="32"/>
                <w:lang w:val="en-GB"/>
              </w:rPr>
            </w:pPr>
          </w:p>
          <w:p>
            <w:pPr>
              <w:widowControl/>
              <w:adjustRightInd w:val="0"/>
              <w:spacing w:line="560" w:lineRule="exact"/>
              <w:jc w:val="center"/>
              <w:rPr>
                <w:rFonts w:eastAsia="楷体"/>
                <w:kern w:val="0"/>
                <w:sz w:val="28"/>
                <w:szCs w:val="32"/>
                <w:lang w:val="en-GB"/>
              </w:rPr>
            </w:pPr>
            <w:r>
              <w:rPr>
                <w:rFonts w:eastAsia="楷体"/>
                <w:kern w:val="0"/>
                <w:sz w:val="28"/>
                <w:szCs w:val="32"/>
                <w:lang w:val="en-GB"/>
              </w:rPr>
              <w:t>单位简介</w:t>
            </w:r>
          </w:p>
        </w:tc>
        <w:tc>
          <w:tcPr>
            <w:tcW w:w="7034" w:type="dxa"/>
            <w:gridSpan w:val="3"/>
          </w:tcPr>
          <w:p>
            <w:pPr>
              <w:adjustRightInd w:val="0"/>
              <w:snapToGrid w:val="0"/>
              <w:spacing w:line="400" w:lineRule="exact"/>
              <w:ind w:left="122" w:right="392" w:firstLine="520"/>
              <w:jc w:val="left"/>
              <w:rPr>
                <w:rFonts w:eastAsia="仿宋"/>
                <w:sz w:val="24"/>
              </w:rPr>
            </w:pPr>
            <w:r>
              <w:rPr>
                <w:rFonts w:eastAsia="仿宋"/>
                <w:sz w:val="24"/>
              </w:rPr>
              <w:t>中关村互联网金融研究院是在北京市科委、中关村管委会、北 京市海淀区人民政府等政府部门指导下，于2014年5月经北京市民  政局核准成立，国内首家互联网金融、金融科技研究机构，2018年被评为</w:t>
            </w:r>
            <w:r>
              <w:rPr>
                <w:rFonts w:hint="eastAsia" w:eastAsia="仿宋"/>
                <w:sz w:val="24"/>
              </w:rPr>
              <w:t>“</w:t>
            </w:r>
            <w:r>
              <w:rPr>
                <w:rFonts w:eastAsia="仿宋"/>
                <w:sz w:val="24"/>
              </w:rPr>
              <w:t>中国社会组织评估等级4A级</w:t>
            </w:r>
            <w:r>
              <w:rPr>
                <w:rFonts w:hint="eastAsia" w:eastAsia="仿宋"/>
                <w:sz w:val="24"/>
              </w:rPr>
              <w:t>”</w:t>
            </w:r>
            <w:r>
              <w:rPr>
                <w:rFonts w:eastAsia="仿宋"/>
                <w:sz w:val="24"/>
              </w:rPr>
              <w:t>。</w:t>
            </w:r>
          </w:p>
          <w:p>
            <w:pPr>
              <w:adjustRightInd w:val="0"/>
              <w:snapToGrid w:val="0"/>
              <w:spacing w:line="400" w:lineRule="exact"/>
              <w:ind w:left="112" w:right="334" w:firstLine="510"/>
              <w:jc w:val="left"/>
              <w:rPr>
                <w:rFonts w:eastAsia="仿宋"/>
                <w:sz w:val="24"/>
              </w:rPr>
            </w:pPr>
            <w:r>
              <w:rPr>
                <w:rFonts w:eastAsia="仿宋"/>
                <w:sz w:val="24"/>
              </w:rPr>
              <w:t>秉承服务金融科技行业发展的宗旨，汇聚了国内金融科技资深 专家学者、前沿技术实践者，着力打造金融科技领域的研究咨询、 技术和场景对接、培训交流、投融资等综合服务平台，助力金融科技行业健康与可持续发展</w:t>
            </w:r>
            <w:r>
              <w:rPr>
                <w:rFonts w:hint="eastAsia" w:eastAsia="仿宋"/>
                <w:sz w:val="24"/>
              </w:rPr>
              <w:t>！</w:t>
            </w:r>
          </w:p>
          <w:p>
            <w:pPr>
              <w:adjustRightInd w:val="0"/>
              <w:snapToGrid w:val="0"/>
              <w:spacing w:line="400" w:lineRule="exact"/>
              <w:ind w:left="632"/>
              <w:jc w:val="left"/>
              <w:rPr>
                <w:rFonts w:eastAsia="仿宋"/>
                <w:sz w:val="24"/>
              </w:rPr>
            </w:pPr>
            <w:r>
              <w:rPr>
                <w:rFonts w:eastAsia="仿宋"/>
                <w:sz w:val="24"/>
              </w:rPr>
              <w:t>先后承接全国政协、工信部、央行金融科技委员会、亚洲金融</w:t>
            </w:r>
          </w:p>
          <w:p>
            <w:pPr>
              <w:adjustRightInd w:val="0"/>
              <w:snapToGrid w:val="0"/>
              <w:spacing w:line="400" w:lineRule="exact"/>
              <w:ind w:left="122"/>
              <w:jc w:val="left"/>
              <w:rPr>
                <w:rFonts w:eastAsia="仿宋"/>
                <w:sz w:val="24"/>
              </w:rPr>
            </w:pPr>
            <w:r>
              <w:rPr>
                <w:rFonts w:eastAsia="仿宋"/>
                <w:sz w:val="24"/>
              </w:rPr>
              <w:t>合作协会、北京市金融局、北京市网信办、中关村管委会、海淀区</w:t>
            </w:r>
          </w:p>
          <w:p>
            <w:pPr>
              <w:adjustRightInd w:val="0"/>
              <w:snapToGrid w:val="0"/>
              <w:spacing w:line="400" w:lineRule="exact"/>
              <w:ind w:left="132"/>
              <w:jc w:val="left"/>
              <w:rPr>
                <w:rFonts w:eastAsia="仿宋"/>
                <w:sz w:val="24"/>
              </w:rPr>
            </w:pPr>
            <w:r>
              <w:rPr>
                <w:rFonts w:eastAsia="仿宋"/>
                <w:sz w:val="24"/>
              </w:rPr>
              <w:t>政府、石景山区政府、中国建设银行、中国移动金融科技公司等单</w:t>
            </w:r>
          </w:p>
          <w:p>
            <w:pPr>
              <w:adjustRightInd w:val="0"/>
              <w:snapToGrid w:val="0"/>
              <w:spacing w:line="400" w:lineRule="exact"/>
              <w:ind w:left="132"/>
              <w:jc w:val="left"/>
              <w:rPr>
                <w:rFonts w:eastAsia="仿宋"/>
                <w:sz w:val="24"/>
              </w:rPr>
            </w:pPr>
            <w:r>
              <w:rPr>
                <w:rFonts w:eastAsia="仿宋"/>
                <w:sz w:val="24"/>
              </w:rPr>
              <w:t>位委托，完成《海淀区建设具有全球影响力的金融科技创新中心五</w:t>
            </w:r>
          </w:p>
          <w:p>
            <w:pPr>
              <w:adjustRightInd w:val="0"/>
              <w:snapToGrid w:val="0"/>
              <w:spacing w:line="400" w:lineRule="exact"/>
              <w:ind w:left="112" w:right="204" w:firstLine="9"/>
              <w:jc w:val="left"/>
              <w:rPr>
                <w:rFonts w:eastAsia="仿宋"/>
                <w:sz w:val="24"/>
              </w:rPr>
            </w:pPr>
            <w:r>
              <w:rPr>
                <w:rFonts w:eastAsia="仿宋"/>
                <w:sz w:val="24"/>
              </w:rPr>
              <w:t>年发展规划</w:t>
            </w:r>
            <w:r>
              <w:rPr>
                <w:rFonts w:hint="eastAsia" w:eastAsia="仿宋"/>
                <w:sz w:val="24"/>
              </w:rPr>
              <w:t>》《</w:t>
            </w:r>
            <w:r>
              <w:rPr>
                <w:rFonts w:eastAsia="仿宋"/>
                <w:sz w:val="24"/>
              </w:rPr>
              <w:t>中移金科金融科技三年滚动规划支撑服务》等多 项课题和咨询；出版《金融科技十讲</w:t>
            </w:r>
            <w:r>
              <w:rPr>
                <w:rFonts w:hint="eastAsia" w:eastAsia="仿宋"/>
                <w:sz w:val="24"/>
              </w:rPr>
              <w:t>》《</w:t>
            </w:r>
            <w:r>
              <w:rPr>
                <w:rFonts w:eastAsia="仿宋"/>
                <w:sz w:val="24"/>
              </w:rPr>
              <w:t>互联网金融》等专业图书。</w:t>
            </w:r>
          </w:p>
          <w:p>
            <w:pPr>
              <w:adjustRightInd w:val="0"/>
              <w:snapToGrid w:val="0"/>
              <w:spacing w:line="400" w:lineRule="exact"/>
              <w:ind w:left="112" w:right="54" w:firstLine="520"/>
              <w:jc w:val="left"/>
              <w:rPr>
                <w:rFonts w:eastAsia="仿宋"/>
                <w:sz w:val="24"/>
                <w:lang w:val="en-GB"/>
              </w:rPr>
            </w:pPr>
            <w:r>
              <w:rPr>
                <w:rFonts w:eastAsia="仿宋"/>
                <w:sz w:val="24"/>
              </w:rPr>
              <w:t>发起</w:t>
            </w:r>
            <w:r>
              <w:rPr>
                <w:rFonts w:hint="eastAsia" w:eastAsia="仿宋"/>
                <w:sz w:val="24"/>
              </w:rPr>
              <w:t>“</w:t>
            </w:r>
            <w:r>
              <w:rPr>
                <w:rFonts w:eastAsia="仿宋"/>
                <w:sz w:val="24"/>
              </w:rPr>
              <w:t>番钛客</w:t>
            </w:r>
            <w:r>
              <w:rPr>
                <w:rFonts w:hint="eastAsia" w:eastAsia="仿宋"/>
                <w:sz w:val="24"/>
              </w:rPr>
              <w:t>”</w:t>
            </w:r>
            <w:r>
              <w:rPr>
                <w:rFonts w:eastAsia="仿宋"/>
                <w:sz w:val="24"/>
              </w:rPr>
              <w:t>金融科技双创大赛，举办</w:t>
            </w:r>
            <w:r>
              <w:rPr>
                <w:rFonts w:hint="eastAsia" w:eastAsia="仿宋"/>
                <w:sz w:val="24"/>
              </w:rPr>
              <w:t>“</w:t>
            </w:r>
            <w:r>
              <w:rPr>
                <w:rFonts w:eastAsia="仿宋"/>
                <w:sz w:val="24"/>
              </w:rPr>
              <w:t>中美金融科技论坛</w:t>
            </w:r>
            <w:r>
              <w:rPr>
                <w:rFonts w:hint="eastAsia" w:eastAsia="仿宋"/>
                <w:sz w:val="24"/>
              </w:rPr>
              <w:t>”“</w:t>
            </w:r>
            <w:r>
              <w:rPr>
                <w:rFonts w:eastAsia="仿宋"/>
                <w:sz w:val="24"/>
              </w:rPr>
              <w:t>中比金融科技论坛</w:t>
            </w:r>
            <w:r>
              <w:rPr>
                <w:rFonts w:hint="eastAsia" w:eastAsia="仿宋"/>
                <w:sz w:val="24"/>
              </w:rPr>
              <w:t>”“</w:t>
            </w:r>
            <w:r>
              <w:rPr>
                <w:rFonts w:eastAsia="仿宋"/>
                <w:sz w:val="24"/>
              </w:rPr>
              <w:t>中关村金融科技大讲堂</w:t>
            </w:r>
            <w:r>
              <w:rPr>
                <w:rFonts w:hint="eastAsia" w:eastAsia="仿宋"/>
                <w:sz w:val="24"/>
              </w:rPr>
              <w:t>”“</w:t>
            </w:r>
            <w:r>
              <w:rPr>
                <w:rFonts w:eastAsia="仿宋"/>
                <w:sz w:val="24"/>
              </w:rPr>
              <w:t>中关村金融科技论坛暨普惠金融论坛</w:t>
            </w:r>
            <w:r>
              <w:rPr>
                <w:rFonts w:hint="eastAsia" w:eastAsia="仿宋"/>
                <w:sz w:val="24"/>
              </w:rPr>
              <w:t>”</w:t>
            </w:r>
            <w:r>
              <w:rPr>
                <w:rFonts w:eastAsia="仿宋"/>
                <w:sz w:val="24"/>
              </w:rPr>
              <w:t>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52" w:type="dxa"/>
          </w:tcPr>
          <w:p>
            <w:pPr>
              <w:adjustRightInd w:val="0"/>
              <w:snapToGrid w:val="0"/>
              <w:spacing w:before="201" w:line="221" w:lineRule="auto"/>
              <w:ind w:left="95"/>
              <w:jc w:val="center"/>
              <w:rPr>
                <w:rFonts w:eastAsia="楷体"/>
                <w:sz w:val="28"/>
                <w:szCs w:val="28"/>
                <w:lang w:val="en-GB"/>
              </w:rPr>
            </w:pPr>
            <w:r>
              <w:rPr>
                <w:rFonts w:eastAsia="楷体"/>
                <w:sz w:val="28"/>
                <w:szCs w:val="32"/>
                <w:lang w:val="en-GB"/>
              </w:rPr>
              <w:t>联系人</w:t>
            </w:r>
          </w:p>
        </w:tc>
        <w:tc>
          <w:tcPr>
            <w:tcW w:w="2418" w:type="dxa"/>
          </w:tcPr>
          <w:p>
            <w:pPr>
              <w:adjustRightInd w:val="0"/>
              <w:snapToGrid w:val="0"/>
              <w:spacing w:before="198" w:line="219" w:lineRule="auto"/>
              <w:jc w:val="center"/>
              <w:rPr>
                <w:rFonts w:eastAsia="仿宋"/>
                <w:sz w:val="24"/>
                <w:lang w:val="en-GB"/>
              </w:rPr>
            </w:pPr>
            <w:r>
              <w:rPr>
                <w:rFonts w:eastAsia="仿宋"/>
                <w:sz w:val="24"/>
              </w:rPr>
              <w:t>曹老师</w:t>
            </w:r>
          </w:p>
        </w:tc>
        <w:tc>
          <w:tcPr>
            <w:tcW w:w="1574" w:type="dxa"/>
          </w:tcPr>
          <w:p>
            <w:pPr>
              <w:adjustRightInd w:val="0"/>
              <w:snapToGrid w:val="0"/>
              <w:spacing w:before="200" w:line="221" w:lineRule="auto"/>
              <w:ind w:left="95"/>
              <w:jc w:val="center"/>
              <w:rPr>
                <w:rFonts w:eastAsia="楷体"/>
                <w:sz w:val="28"/>
                <w:szCs w:val="28"/>
                <w:lang w:val="en-GB"/>
              </w:rPr>
            </w:pPr>
            <w:r>
              <w:rPr>
                <w:rFonts w:eastAsia="楷体"/>
                <w:spacing w:val="-9"/>
                <w:sz w:val="28"/>
                <w:szCs w:val="28"/>
                <w:lang w:val="en-GB"/>
              </w:rPr>
              <w:t>联系方式</w:t>
            </w:r>
          </w:p>
        </w:tc>
        <w:tc>
          <w:tcPr>
            <w:tcW w:w="3042" w:type="dxa"/>
          </w:tcPr>
          <w:p>
            <w:pPr>
              <w:adjustRightInd w:val="0"/>
              <w:snapToGrid w:val="0"/>
              <w:spacing w:before="259" w:line="184" w:lineRule="auto"/>
              <w:jc w:val="center"/>
              <w:rPr>
                <w:rFonts w:eastAsia="仿宋"/>
                <w:sz w:val="24"/>
                <w:lang w:val="en-GB"/>
              </w:rPr>
            </w:pPr>
            <w:r>
              <w:rPr>
                <w:rFonts w:eastAsia="仿宋"/>
                <w:sz w:val="24"/>
              </w:rPr>
              <w:t>13718969634</w:t>
            </w:r>
          </w:p>
        </w:tc>
      </w:tr>
    </w:tbl>
    <w:p>
      <w:pPr>
        <w:widowControl/>
        <w:adjustRightInd w:val="0"/>
        <w:snapToGrid w:val="0"/>
        <w:jc w:val="center"/>
        <w:rPr>
          <w:rFonts w:eastAsia="Times New Roman"/>
          <w:kern w:val="0"/>
          <w:sz w:val="24"/>
          <w:lang w:val="en-GB"/>
        </w:rPr>
      </w:pPr>
    </w:p>
    <w:p>
      <w:pPr>
        <w:sectPr>
          <w:footerReference r:id="rId3" w:type="default"/>
          <w:pgSz w:w="11900" w:h="16840"/>
          <w:pgMar w:top="1431" w:right="1105" w:bottom="1495" w:left="1604" w:header="0" w:footer="1346" w:gutter="0"/>
          <w:cols w:space="720" w:num="1"/>
        </w:sectPr>
      </w:pPr>
    </w:p>
    <w:p>
      <w:pPr>
        <w:widowControl/>
        <w:tabs>
          <w:tab w:val="left" w:pos="8640"/>
        </w:tabs>
        <w:adjustRightInd w:val="0"/>
        <w:snapToGrid w:val="0"/>
        <w:spacing w:line="560" w:lineRule="exact"/>
        <w:ind w:firstLine="332" w:firstLineChars="100"/>
        <w:rPr>
          <w:rFonts w:eastAsia="方正黑体简体"/>
          <w:bCs/>
          <w:spacing w:val="6"/>
          <w:kern w:val="0"/>
          <w:sz w:val="32"/>
          <w:szCs w:val="32"/>
          <w:lang w:val="en-GB"/>
        </w:rPr>
      </w:pPr>
      <w:r>
        <w:rPr>
          <w:rFonts w:eastAsia="方正黑体简体"/>
          <w:bCs/>
          <w:spacing w:val="6"/>
          <w:kern w:val="0"/>
          <w:sz w:val="32"/>
          <w:szCs w:val="32"/>
          <w:lang w:val="en-GB"/>
        </w:rPr>
        <w:t>二、 选题说明</w:t>
      </w:r>
    </w:p>
    <w:p>
      <w:pPr>
        <w:widowControl/>
        <w:adjustRightInd w:val="0"/>
        <w:snapToGrid w:val="0"/>
        <w:spacing w:line="146" w:lineRule="auto"/>
        <w:jc w:val="center"/>
        <w:rPr>
          <w:rFonts w:eastAsia="Times New Roman"/>
          <w:kern w:val="0"/>
          <w:sz w:val="2"/>
          <w:lang w:val="en-GB"/>
        </w:rPr>
      </w:pPr>
    </w:p>
    <w:tbl>
      <w:tblPr>
        <w:tblStyle w:val="24"/>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6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812" w:type="dxa"/>
          </w:tcPr>
          <w:p>
            <w:pPr>
              <w:adjustRightInd w:val="0"/>
              <w:snapToGrid w:val="0"/>
              <w:spacing w:before="258" w:line="221" w:lineRule="auto"/>
              <w:ind w:left="54"/>
              <w:jc w:val="center"/>
              <w:rPr>
                <w:rFonts w:eastAsia="楷体"/>
                <w:sz w:val="28"/>
                <w:szCs w:val="28"/>
                <w:lang w:val="en-GB"/>
              </w:rPr>
            </w:pPr>
            <w:r>
              <w:rPr>
                <w:rFonts w:eastAsia="楷体"/>
                <w:sz w:val="28"/>
                <w:szCs w:val="28"/>
                <w:lang w:val="en-GB"/>
              </w:rPr>
              <w:t>题目</w:t>
            </w:r>
          </w:p>
        </w:tc>
        <w:tc>
          <w:tcPr>
            <w:tcW w:w="6682" w:type="dxa"/>
          </w:tcPr>
          <w:p>
            <w:pPr>
              <w:adjustRightInd w:val="0"/>
              <w:snapToGrid w:val="0"/>
              <w:spacing w:before="255" w:line="219" w:lineRule="auto"/>
              <w:jc w:val="center"/>
              <w:rPr>
                <w:rFonts w:eastAsia="仿宋"/>
                <w:sz w:val="24"/>
              </w:rPr>
            </w:pPr>
            <w:r>
              <w:rPr>
                <w:rFonts w:eastAsia="仿宋"/>
                <w:sz w:val="24"/>
              </w:rPr>
              <w:t>基于生成式AI的金融量化投资与风险管理解决方案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812" w:type="dxa"/>
          </w:tcPr>
          <w:p>
            <w:pPr>
              <w:adjustRightInd w:val="0"/>
              <w:snapToGrid w:val="0"/>
              <w:spacing w:before="258" w:line="221" w:lineRule="auto"/>
              <w:ind w:left="54"/>
              <w:jc w:val="center"/>
              <w:rPr>
                <w:rFonts w:eastAsia="楷体"/>
                <w:sz w:val="28"/>
                <w:szCs w:val="28"/>
              </w:rPr>
            </w:pPr>
            <w:r>
              <w:rPr>
                <w:rFonts w:eastAsia="楷体"/>
                <w:sz w:val="28"/>
                <w:szCs w:val="28"/>
              </w:rPr>
              <w:t>行业领域</w:t>
            </w:r>
          </w:p>
        </w:tc>
        <w:tc>
          <w:tcPr>
            <w:tcW w:w="6682" w:type="dxa"/>
          </w:tcPr>
          <w:p>
            <w:pPr>
              <w:adjustRightInd w:val="0"/>
              <w:snapToGrid w:val="0"/>
              <w:spacing w:before="255" w:line="219" w:lineRule="auto"/>
              <w:jc w:val="center"/>
              <w:rPr>
                <w:rFonts w:eastAsia="仿宋"/>
                <w:sz w:val="24"/>
              </w:rPr>
            </w:pPr>
            <w:r>
              <w:rPr>
                <w:rFonts w:eastAsia="仿宋"/>
                <w:sz w:val="24"/>
              </w:rPr>
              <w:t>金融科技、量化投资、风险管理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9" w:hRule="atLeast"/>
          <w:jc w:val="center"/>
        </w:trPr>
        <w:tc>
          <w:tcPr>
            <w:tcW w:w="1812" w:type="dxa"/>
          </w:tcPr>
          <w:p>
            <w:pPr>
              <w:widowControl/>
              <w:adjustRightInd w:val="0"/>
              <w:snapToGrid w:val="0"/>
              <w:spacing w:line="263" w:lineRule="auto"/>
              <w:jc w:val="center"/>
              <w:rPr>
                <w:rFonts w:eastAsia="楷体"/>
                <w:kern w:val="0"/>
                <w:sz w:val="28"/>
                <w:szCs w:val="28"/>
                <w:lang w:val="en-GB"/>
              </w:rPr>
            </w:pPr>
          </w:p>
          <w:p>
            <w:pPr>
              <w:widowControl/>
              <w:adjustRightInd w:val="0"/>
              <w:snapToGrid w:val="0"/>
              <w:spacing w:line="263" w:lineRule="auto"/>
              <w:jc w:val="center"/>
              <w:rPr>
                <w:rFonts w:eastAsia="楷体"/>
                <w:kern w:val="0"/>
                <w:sz w:val="28"/>
                <w:szCs w:val="28"/>
                <w:lang w:val="en-GB"/>
              </w:rPr>
            </w:pPr>
          </w:p>
          <w:p>
            <w:pPr>
              <w:widowControl/>
              <w:adjustRightInd w:val="0"/>
              <w:snapToGrid w:val="0"/>
              <w:spacing w:line="264" w:lineRule="auto"/>
              <w:jc w:val="center"/>
              <w:rPr>
                <w:rFonts w:eastAsia="楷体"/>
                <w:kern w:val="0"/>
                <w:sz w:val="28"/>
                <w:szCs w:val="28"/>
                <w:lang w:val="en-GB"/>
              </w:rPr>
            </w:pPr>
          </w:p>
          <w:p>
            <w:pPr>
              <w:widowControl/>
              <w:adjustRightInd w:val="0"/>
              <w:snapToGrid w:val="0"/>
              <w:spacing w:line="264" w:lineRule="auto"/>
              <w:rPr>
                <w:rFonts w:eastAsia="楷体"/>
                <w:kern w:val="0"/>
                <w:sz w:val="28"/>
                <w:szCs w:val="28"/>
                <w:lang w:val="en-GB"/>
              </w:rPr>
            </w:pPr>
          </w:p>
          <w:p>
            <w:pPr>
              <w:widowControl/>
              <w:adjustRightInd w:val="0"/>
              <w:snapToGrid w:val="0"/>
              <w:spacing w:line="264" w:lineRule="auto"/>
              <w:jc w:val="center"/>
              <w:rPr>
                <w:rFonts w:eastAsia="楷体"/>
                <w:kern w:val="0"/>
                <w:sz w:val="28"/>
                <w:szCs w:val="28"/>
                <w:lang w:val="en-GB"/>
              </w:rPr>
            </w:pPr>
          </w:p>
          <w:p>
            <w:pPr>
              <w:adjustRightInd w:val="0"/>
              <w:snapToGrid w:val="0"/>
              <w:spacing w:before="82" w:line="219" w:lineRule="auto"/>
              <w:ind w:left="54"/>
              <w:jc w:val="center"/>
              <w:rPr>
                <w:rFonts w:eastAsia="楷体"/>
                <w:sz w:val="28"/>
                <w:szCs w:val="28"/>
                <w:lang w:val="en-GB"/>
              </w:rPr>
            </w:pPr>
            <w:r>
              <w:rPr>
                <w:rFonts w:eastAsia="楷体"/>
                <w:spacing w:val="5"/>
                <w:sz w:val="28"/>
                <w:szCs w:val="28"/>
                <w:lang w:val="en-GB"/>
              </w:rPr>
              <w:t>题目介绍</w:t>
            </w:r>
          </w:p>
        </w:tc>
        <w:tc>
          <w:tcPr>
            <w:tcW w:w="6682" w:type="dxa"/>
          </w:tcPr>
          <w:p>
            <w:pPr>
              <w:adjustRightInd w:val="0"/>
              <w:snapToGrid w:val="0"/>
              <w:spacing w:line="400" w:lineRule="exact"/>
              <w:ind w:firstLine="480" w:firstLineChars="200"/>
              <w:jc w:val="left"/>
              <w:rPr>
                <w:rFonts w:eastAsia="仿宋"/>
                <w:sz w:val="24"/>
              </w:rPr>
            </w:pPr>
            <w:r>
              <w:rPr>
                <w:rFonts w:eastAsia="仿宋"/>
                <w:sz w:val="24"/>
              </w:rPr>
              <w:t>生成式AI是一种强大的人工智能技术，它可以通过学习大量的数据样本，自动生成符合特定分布的新数据。在量化投资中，生成式Al可以分析历史市场数据、财务数据、新闻情报等多维信息，并生成预测未来市场走势的模拟数据，通过这种方式帮助投资者发现隐藏的模式和趋势，辅助其进行更精准的投资决策。</w:t>
            </w:r>
          </w:p>
          <w:p>
            <w:pPr>
              <w:adjustRightInd w:val="0"/>
              <w:snapToGrid w:val="0"/>
              <w:spacing w:line="400" w:lineRule="exact"/>
              <w:ind w:firstLine="480" w:firstLineChars="200"/>
              <w:jc w:val="left"/>
              <w:rPr>
                <w:rFonts w:eastAsia="仿宋"/>
                <w:sz w:val="25"/>
                <w:szCs w:val="25"/>
                <w:lang w:val="en-GB"/>
              </w:rPr>
            </w:pPr>
            <w:r>
              <w:rPr>
                <w:rFonts w:eastAsia="仿宋"/>
                <w:sz w:val="24"/>
              </w:rPr>
              <w:t>基于生成式AI的金融量化投资与风险管理解决方案是一个旨在利用生成式人工智能技术，改进量化投资和风险管理的研究项目。传统的量化投资策略依赖于数学模型和统计分析，但在面对复杂多变的金融市场时其预测准确性和应对能力存在局限性。因此，本项目旨在探索如何结合先进的生成式AI模型和量化金融策略，为投资者提供更准确、可靠的决策支持，以优化投资回报和降低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1" w:hRule="atLeast"/>
          <w:jc w:val="center"/>
        </w:trPr>
        <w:tc>
          <w:tcPr>
            <w:tcW w:w="1812" w:type="dxa"/>
          </w:tcPr>
          <w:p>
            <w:pPr>
              <w:widowControl/>
              <w:adjustRightInd w:val="0"/>
              <w:snapToGrid w:val="0"/>
              <w:spacing w:line="259" w:lineRule="auto"/>
              <w:rPr>
                <w:rFonts w:eastAsia="楷体"/>
                <w:kern w:val="0"/>
                <w:sz w:val="28"/>
                <w:szCs w:val="28"/>
                <w:lang w:val="en-GB"/>
              </w:rPr>
            </w:pPr>
          </w:p>
          <w:p>
            <w:pPr>
              <w:widowControl/>
              <w:adjustRightInd w:val="0"/>
              <w:snapToGrid w:val="0"/>
              <w:spacing w:line="259" w:lineRule="auto"/>
              <w:rPr>
                <w:rFonts w:eastAsia="楷体"/>
                <w:kern w:val="0"/>
                <w:sz w:val="28"/>
                <w:szCs w:val="28"/>
                <w:lang w:val="en-GB"/>
              </w:rPr>
            </w:pPr>
          </w:p>
          <w:p>
            <w:pPr>
              <w:widowControl/>
              <w:adjustRightInd w:val="0"/>
              <w:snapToGrid w:val="0"/>
              <w:spacing w:line="259" w:lineRule="auto"/>
              <w:jc w:val="center"/>
              <w:rPr>
                <w:rFonts w:eastAsia="楷体"/>
                <w:kern w:val="0"/>
                <w:sz w:val="28"/>
                <w:szCs w:val="28"/>
                <w:lang w:val="en-GB"/>
              </w:rPr>
            </w:pPr>
          </w:p>
          <w:p>
            <w:pPr>
              <w:widowControl/>
              <w:adjustRightInd w:val="0"/>
              <w:snapToGrid w:val="0"/>
              <w:spacing w:line="260" w:lineRule="auto"/>
              <w:jc w:val="center"/>
              <w:rPr>
                <w:rFonts w:eastAsia="楷体"/>
                <w:kern w:val="0"/>
                <w:sz w:val="28"/>
                <w:szCs w:val="28"/>
                <w:lang w:val="en-GB"/>
              </w:rPr>
            </w:pPr>
          </w:p>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adjustRightInd w:val="0"/>
              <w:snapToGrid w:val="0"/>
              <w:spacing w:before="81" w:line="570" w:lineRule="exact"/>
              <w:jc w:val="center"/>
              <w:rPr>
                <w:rFonts w:eastAsia="楷体"/>
                <w:sz w:val="28"/>
                <w:szCs w:val="28"/>
                <w:lang w:val="en-GB"/>
              </w:rPr>
            </w:pPr>
            <w:r>
              <w:rPr>
                <w:rFonts w:eastAsia="楷体"/>
                <w:sz w:val="28"/>
                <w:szCs w:val="28"/>
                <w:lang w:val="en-GB"/>
              </w:rPr>
              <w:t>经济社会效益</w:t>
            </w:r>
          </w:p>
        </w:tc>
        <w:tc>
          <w:tcPr>
            <w:tcW w:w="6682" w:type="dxa"/>
          </w:tcPr>
          <w:p>
            <w:pPr>
              <w:adjustRightInd w:val="0"/>
              <w:snapToGrid w:val="0"/>
              <w:spacing w:line="400" w:lineRule="exact"/>
              <w:ind w:right="90" w:firstLine="480" w:firstLineChars="200"/>
              <w:jc w:val="left"/>
              <w:rPr>
                <w:rFonts w:eastAsia="仿宋"/>
                <w:sz w:val="24"/>
              </w:rPr>
            </w:pPr>
            <w:r>
              <w:rPr>
                <w:rFonts w:eastAsia="仿宋"/>
                <w:sz w:val="24"/>
              </w:rPr>
              <w:t>1.提高投资回报率：通过基于生成式AI的量化投资策略，可以帮助投资者发现低估或高估的投资机会，从而优化投资组合配置，实现更准确的市场预测和交易决策，提高投资组合的回报率。</w:t>
            </w:r>
          </w:p>
          <w:p>
            <w:pPr>
              <w:adjustRightInd w:val="0"/>
              <w:snapToGrid w:val="0"/>
              <w:spacing w:line="400" w:lineRule="exact"/>
              <w:ind w:left="81" w:firstLine="479"/>
              <w:jc w:val="left"/>
              <w:rPr>
                <w:rFonts w:eastAsia="仿宋"/>
                <w:sz w:val="24"/>
              </w:rPr>
            </w:pPr>
            <w:r>
              <w:rPr>
                <w:rFonts w:eastAsia="仿宋"/>
                <w:sz w:val="24"/>
              </w:rPr>
              <w:t>2.降低投资风险：通过分析大量的市场数据和相关因素，模拟不同市场情景下的投资组合表现，帮助投资者评估风险水平并采取相应的风险管理策略，降低投资组合的风险。</w:t>
            </w:r>
          </w:p>
          <w:p>
            <w:pPr>
              <w:adjustRightInd w:val="0"/>
              <w:snapToGrid w:val="0"/>
              <w:spacing w:line="400" w:lineRule="exact"/>
              <w:ind w:left="82" w:right="82" w:firstLine="500"/>
              <w:jc w:val="left"/>
              <w:rPr>
                <w:rFonts w:eastAsia="仿宋"/>
                <w:sz w:val="24"/>
                <w:lang w:val="en-GB"/>
              </w:rPr>
            </w:pPr>
            <w:r>
              <w:rPr>
                <w:rFonts w:eastAsia="仿宋"/>
                <w:sz w:val="24"/>
              </w:rPr>
              <w:t>3.促进金融创新：通过将生成式AI技术应用于量化投资和风险管理领域，可以推动金融创新，拓宽投资工具和策略的范围，提高市场的效率和流动性。</w:t>
            </w:r>
          </w:p>
        </w:tc>
      </w:tr>
    </w:tbl>
    <w:p>
      <w:pPr>
        <w:widowControl/>
        <w:adjustRightInd w:val="0"/>
        <w:snapToGrid w:val="0"/>
        <w:spacing w:line="193" w:lineRule="exact"/>
        <w:jc w:val="center"/>
        <w:rPr>
          <w:rFonts w:eastAsia="Times New Roman"/>
          <w:kern w:val="0"/>
          <w:sz w:val="24"/>
          <w:lang w:val="en-GB"/>
        </w:rPr>
      </w:pPr>
    </w:p>
    <w:tbl>
      <w:tblPr>
        <w:tblStyle w:val="24"/>
        <w:tblW w:w="9049"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7"/>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0" w:hRule="atLeast"/>
        </w:trPr>
        <w:tc>
          <w:tcPr>
            <w:tcW w:w="1827" w:type="dxa"/>
          </w:tcPr>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5"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adjustRightInd w:val="0"/>
              <w:snapToGrid w:val="0"/>
              <w:spacing w:before="81" w:line="570" w:lineRule="exact"/>
              <w:ind w:left="54"/>
              <w:jc w:val="center"/>
              <w:rPr>
                <w:sz w:val="24"/>
                <w:lang w:val="en-GB"/>
              </w:rPr>
            </w:pPr>
            <w:r>
              <w:rPr>
                <w:rFonts w:eastAsia="楷体"/>
                <w:sz w:val="28"/>
                <w:szCs w:val="28"/>
                <w:lang w:val="en-GB"/>
              </w:rPr>
              <w:t>作品要求</w:t>
            </w:r>
          </w:p>
        </w:tc>
        <w:tc>
          <w:tcPr>
            <w:tcW w:w="7222" w:type="dxa"/>
          </w:tcPr>
          <w:p>
            <w:pPr>
              <w:adjustRightInd w:val="0"/>
              <w:snapToGrid w:val="0"/>
              <w:spacing w:line="400" w:lineRule="exact"/>
              <w:ind w:left="81" w:firstLine="479"/>
              <w:jc w:val="left"/>
              <w:rPr>
                <w:rFonts w:eastAsia="仿宋"/>
                <w:b/>
                <w:bCs/>
                <w:sz w:val="24"/>
                <w:lang w:val="en-GB"/>
              </w:rPr>
            </w:pPr>
            <w:r>
              <w:rPr>
                <w:rFonts w:eastAsia="仿宋"/>
                <w:b/>
                <w:bCs/>
                <w:sz w:val="24"/>
                <w:lang w:val="en-GB"/>
              </w:rPr>
              <w:t>一、作品要求</w:t>
            </w:r>
          </w:p>
          <w:p>
            <w:pPr>
              <w:adjustRightInd w:val="0"/>
              <w:snapToGrid w:val="0"/>
              <w:spacing w:line="400" w:lineRule="exact"/>
              <w:ind w:left="81" w:firstLine="479"/>
              <w:jc w:val="left"/>
              <w:rPr>
                <w:rFonts w:eastAsia="仿宋"/>
                <w:sz w:val="24"/>
                <w:lang w:val="en-GB"/>
              </w:rPr>
            </w:pPr>
            <w:r>
              <w:rPr>
                <w:rFonts w:eastAsia="仿宋"/>
                <w:sz w:val="24"/>
                <w:lang w:val="en-GB"/>
              </w:rPr>
              <w:t>作品需介绍所使用的生成式Al模型和量化金融策略，并解释为什么选择 这些方法，需要详细说明生成式Al模型的原理、算法和训练过程，以及如何将其应用于量化投资和风险管理领域。</w:t>
            </w:r>
          </w:p>
          <w:p>
            <w:pPr>
              <w:adjustRightInd w:val="0"/>
              <w:snapToGrid w:val="0"/>
              <w:spacing w:line="400" w:lineRule="exact"/>
              <w:ind w:left="81" w:firstLine="479"/>
              <w:jc w:val="left"/>
              <w:rPr>
                <w:rFonts w:eastAsia="仿宋"/>
                <w:sz w:val="24"/>
                <w:lang w:val="en-GB"/>
              </w:rPr>
            </w:pPr>
            <w:r>
              <w:rPr>
                <w:rFonts w:eastAsia="仿宋"/>
                <w:sz w:val="24"/>
                <w:lang w:val="en-GB"/>
              </w:rPr>
              <w:t>对于模型评估和验证，作品应设计合适的回测框架和评估指标，以评估 生成式Al模型的性能和有效性，并对模型的结果进行解释和分析；对于风险 管理策略，学生需要说明如何结合生成式Al模型的预测结果，设计和实施有 效的风险管理策略，以保护投资组合免受市场波动的影响。可选择的研究对象：</w:t>
            </w:r>
            <w:r>
              <w:rPr>
                <w:rFonts w:hint="eastAsia" w:eastAsia="仿宋"/>
                <w:sz w:val="24"/>
                <w:lang w:val="en-GB"/>
              </w:rPr>
              <w:t>（</w:t>
            </w:r>
            <w:r>
              <w:rPr>
                <w:rFonts w:eastAsia="仿宋"/>
                <w:sz w:val="24"/>
                <w:lang w:val="en-GB"/>
              </w:rPr>
              <w:t>1</w:t>
            </w:r>
            <w:r>
              <w:rPr>
                <w:rFonts w:hint="eastAsia" w:eastAsia="仿宋"/>
                <w:sz w:val="24"/>
                <w:lang w:val="en-GB"/>
              </w:rPr>
              <w:t>）</w:t>
            </w:r>
            <w:r>
              <w:rPr>
                <w:rFonts w:eastAsia="仿宋"/>
                <w:sz w:val="24"/>
                <w:lang w:val="en-GB"/>
              </w:rPr>
              <w:t>A股股票市场</w:t>
            </w:r>
            <w:r>
              <w:rPr>
                <w:rFonts w:hint="eastAsia" w:eastAsia="仿宋"/>
                <w:sz w:val="24"/>
                <w:lang w:val="en-GB"/>
              </w:rPr>
              <w:t>（</w:t>
            </w:r>
            <w:r>
              <w:rPr>
                <w:rFonts w:eastAsia="仿宋"/>
                <w:sz w:val="24"/>
                <w:lang w:val="en-GB"/>
              </w:rPr>
              <w:t>2</w:t>
            </w:r>
            <w:r>
              <w:rPr>
                <w:rFonts w:hint="eastAsia" w:eastAsia="仿宋"/>
                <w:sz w:val="24"/>
                <w:lang w:val="en-GB"/>
              </w:rPr>
              <w:t>）</w:t>
            </w:r>
            <w:r>
              <w:rPr>
                <w:rFonts w:eastAsia="仿宋"/>
                <w:sz w:val="24"/>
                <w:lang w:val="en-GB"/>
              </w:rPr>
              <w:t>债券市场</w:t>
            </w:r>
            <w:r>
              <w:rPr>
                <w:rFonts w:hint="eastAsia" w:eastAsia="仿宋"/>
                <w:sz w:val="24"/>
                <w:lang w:val="en-GB"/>
              </w:rPr>
              <w:t>（</w:t>
            </w:r>
            <w:r>
              <w:rPr>
                <w:rFonts w:eastAsia="仿宋"/>
                <w:sz w:val="24"/>
                <w:lang w:val="en-GB"/>
              </w:rPr>
              <w:t>3</w:t>
            </w:r>
            <w:r>
              <w:rPr>
                <w:rFonts w:hint="eastAsia" w:eastAsia="仿宋"/>
                <w:sz w:val="24"/>
                <w:lang w:val="en-GB"/>
              </w:rPr>
              <w:t>）</w:t>
            </w:r>
            <w:r>
              <w:rPr>
                <w:rFonts w:eastAsia="仿宋"/>
                <w:sz w:val="24"/>
                <w:lang w:val="en-GB"/>
              </w:rPr>
              <w:t>期货、期权市场</w:t>
            </w:r>
            <w:r>
              <w:rPr>
                <w:rFonts w:eastAsia="仿宋"/>
                <w:sz w:val="24"/>
              </w:rPr>
              <w:t>.</w:t>
            </w:r>
            <w:r>
              <w:rPr>
                <w:rFonts w:eastAsia="仿宋"/>
                <w:sz w:val="24"/>
                <w:lang w:val="en-GB"/>
              </w:rPr>
              <w:t>作品需至少包含以下材料：报告书、所用数据、算法、模型、测试报告、代码等；其他相关资料</w:t>
            </w:r>
          </w:p>
          <w:p>
            <w:pPr>
              <w:adjustRightInd w:val="0"/>
              <w:snapToGrid w:val="0"/>
              <w:spacing w:line="400" w:lineRule="exact"/>
              <w:ind w:left="81" w:firstLine="479"/>
              <w:jc w:val="left"/>
              <w:rPr>
                <w:rFonts w:eastAsia="仿宋"/>
                <w:b/>
                <w:bCs/>
                <w:sz w:val="24"/>
                <w:lang w:val="en-GB"/>
              </w:rPr>
            </w:pPr>
            <w:r>
              <w:rPr>
                <w:rFonts w:eastAsia="仿宋"/>
                <w:b/>
                <w:bCs/>
                <w:sz w:val="24"/>
                <w:lang w:val="en-GB"/>
              </w:rPr>
              <w:t>二、评审规则：作品将从三大维度进行评审</w:t>
            </w:r>
          </w:p>
          <w:p>
            <w:pPr>
              <w:adjustRightInd w:val="0"/>
              <w:snapToGrid w:val="0"/>
              <w:spacing w:line="400" w:lineRule="exact"/>
              <w:ind w:left="81" w:firstLine="479"/>
              <w:jc w:val="left"/>
              <w:rPr>
                <w:rFonts w:eastAsia="仿宋"/>
                <w:sz w:val="24"/>
                <w:lang w:val="en-GB"/>
              </w:rPr>
            </w:pPr>
            <w:r>
              <w:rPr>
                <w:rFonts w:hint="eastAsia" w:eastAsia="仿宋"/>
                <w:sz w:val="24"/>
                <w:lang w:val="en-GB"/>
              </w:rPr>
              <w:t>（</w:t>
            </w:r>
            <w:r>
              <w:rPr>
                <w:rFonts w:eastAsia="仿宋"/>
                <w:sz w:val="24"/>
                <w:lang w:val="en-GB"/>
              </w:rPr>
              <w:t>1</w:t>
            </w:r>
            <w:r>
              <w:rPr>
                <w:rFonts w:hint="eastAsia" w:eastAsia="仿宋"/>
                <w:sz w:val="24"/>
                <w:lang w:val="en-GB"/>
              </w:rPr>
              <w:t>）</w:t>
            </w:r>
            <w:r>
              <w:rPr>
                <w:rFonts w:eastAsia="仿宋"/>
                <w:sz w:val="24"/>
                <w:lang w:val="en-GB"/>
              </w:rPr>
              <w:t>作品完整性</w:t>
            </w:r>
            <w:r>
              <w:rPr>
                <w:rFonts w:hint="eastAsia" w:eastAsia="仿宋"/>
                <w:sz w:val="24"/>
                <w:lang w:val="en-GB"/>
              </w:rPr>
              <w:t>（</w:t>
            </w:r>
            <w:r>
              <w:rPr>
                <w:rFonts w:eastAsia="仿宋"/>
                <w:sz w:val="24"/>
                <w:lang w:val="en-GB"/>
              </w:rPr>
              <w:t>40分</w:t>
            </w:r>
            <w:r>
              <w:rPr>
                <w:rFonts w:hint="eastAsia" w:eastAsia="仿宋"/>
                <w:sz w:val="24"/>
                <w:lang w:val="en-GB"/>
              </w:rPr>
              <w:t>）：</w:t>
            </w:r>
            <w:r>
              <w:rPr>
                <w:rFonts w:eastAsia="仿宋"/>
                <w:sz w:val="24"/>
                <w:lang w:val="en-GB"/>
              </w:rPr>
              <w:t>作品需完整完成从数据搜集、处理，模型训练，回测，构建风险管理策略全流程，各部分协调统一，无明显缺陷；</w:t>
            </w:r>
          </w:p>
          <w:p>
            <w:pPr>
              <w:adjustRightInd w:val="0"/>
              <w:snapToGrid w:val="0"/>
              <w:spacing w:line="400" w:lineRule="exact"/>
              <w:ind w:left="81" w:firstLine="479"/>
              <w:jc w:val="left"/>
              <w:rPr>
                <w:rFonts w:eastAsia="仿宋"/>
                <w:sz w:val="24"/>
                <w:lang w:val="en-GB"/>
              </w:rPr>
            </w:pPr>
            <w:r>
              <w:rPr>
                <w:rFonts w:hint="eastAsia" w:eastAsia="仿宋"/>
                <w:sz w:val="24"/>
                <w:lang w:val="en-GB"/>
              </w:rPr>
              <w:t>（</w:t>
            </w:r>
            <w:r>
              <w:rPr>
                <w:rFonts w:eastAsia="仿宋"/>
                <w:sz w:val="24"/>
                <w:lang w:val="en-GB"/>
              </w:rPr>
              <w:t>2</w:t>
            </w:r>
            <w:r>
              <w:rPr>
                <w:rFonts w:hint="eastAsia" w:eastAsia="仿宋"/>
                <w:sz w:val="24"/>
                <w:lang w:val="en-GB"/>
              </w:rPr>
              <w:t>）</w:t>
            </w:r>
            <w:r>
              <w:rPr>
                <w:rFonts w:eastAsia="仿宋"/>
                <w:sz w:val="24"/>
                <w:lang w:val="en-GB"/>
              </w:rPr>
              <w:t>投资策略整体效益</w:t>
            </w:r>
            <w:r>
              <w:rPr>
                <w:rFonts w:hint="eastAsia" w:eastAsia="仿宋"/>
                <w:sz w:val="24"/>
                <w:lang w:val="en-GB"/>
              </w:rPr>
              <w:t>（</w:t>
            </w:r>
            <w:r>
              <w:rPr>
                <w:rFonts w:eastAsia="仿宋"/>
                <w:sz w:val="24"/>
                <w:lang w:val="en-GB"/>
              </w:rPr>
              <w:t>30分</w:t>
            </w:r>
            <w:r>
              <w:rPr>
                <w:rFonts w:hint="eastAsia" w:eastAsia="仿宋"/>
                <w:sz w:val="24"/>
                <w:lang w:val="en-GB"/>
              </w:rPr>
              <w:t>）：</w:t>
            </w:r>
            <w:r>
              <w:rPr>
                <w:rFonts w:eastAsia="仿宋"/>
                <w:sz w:val="24"/>
                <w:lang w:val="en-GB"/>
              </w:rPr>
              <w:t>评委将评估作品方案中模型评估和验证的设计和执行，包括回测框架的合理性、评估指标的选择和解释、投资策略收益率等方面的评估；</w:t>
            </w:r>
          </w:p>
          <w:p>
            <w:pPr>
              <w:adjustRightInd w:val="0"/>
              <w:snapToGrid w:val="0"/>
              <w:spacing w:line="400" w:lineRule="exact"/>
              <w:ind w:left="81" w:firstLine="479"/>
              <w:jc w:val="left"/>
              <w:rPr>
                <w:rFonts w:eastAsia="仿宋"/>
                <w:sz w:val="24"/>
                <w:lang w:val="en-GB"/>
              </w:rPr>
            </w:pPr>
            <w:r>
              <w:rPr>
                <w:rFonts w:hint="eastAsia" w:eastAsia="仿宋"/>
                <w:sz w:val="24"/>
                <w:lang w:val="en-GB"/>
              </w:rPr>
              <w:t>（</w:t>
            </w:r>
            <w:r>
              <w:rPr>
                <w:rFonts w:eastAsia="仿宋"/>
                <w:sz w:val="24"/>
                <w:lang w:val="en-GB"/>
              </w:rPr>
              <w:t>3</w:t>
            </w:r>
            <w:r>
              <w:rPr>
                <w:rFonts w:hint="eastAsia" w:eastAsia="仿宋"/>
                <w:sz w:val="24"/>
                <w:lang w:val="en-GB"/>
              </w:rPr>
              <w:t>）</w:t>
            </w:r>
            <w:r>
              <w:rPr>
                <w:rFonts w:eastAsia="仿宋"/>
                <w:sz w:val="24"/>
                <w:lang w:val="en-GB"/>
              </w:rPr>
              <w:t>风险管理策略评估</w:t>
            </w:r>
            <w:r>
              <w:rPr>
                <w:rFonts w:hint="eastAsia" w:eastAsia="仿宋"/>
                <w:sz w:val="24"/>
                <w:lang w:val="en-GB"/>
              </w:rPr>
              <w:t>（</w:t>
            </w:r>
            <w:r>
              <w:rPr>
                <w:rFonts w:eastAsia="仿宋"/>
                <w:sz w:val="24"/>
                <w:lang w:val="en-GB"/>
              </w:rPr>
              <w:t>30分</w:t>
            </w:r>
            <w:r>
              <w:rPr>
                <w:rFonts w:hint="eastAsia" w:eastAsia="仿宋"/>
                <w:sz w:val="24"/>
                <w:lang w:val="en-GB"/>
              </w:rPr>
              <w:t>）：</w:t>
            </w:r>
            <w:r>
              <w:rPr>
                <w:rFonts w:eastAsia="仿宋"/>
                <w:sz w:val="24"/>
                <w:lang w:val="en-GB"/>
              </w:rPr>
              <w:t>评委将评估作品中所提出的风险管理策略的合理性和可行性，包括对不同风险因素的考虑和相应策略的设计等。</w:t>
            </w:r>
          </w:p>
          <w:p>
            <w:pPr>
              <w:adjustRightInd w:val="0"/>
              <w:snapToGrid w:val="0"/>
              <w:spacing w:line="400" w:lineRule="exact"/>
              <w:jc w:val="left"/>
              <w:rPr>
                <w:sz w:val="24"/>
                <w:lang w:val="en-GB"/>
              </w:rPr>
            </w:pPr>
          </w:p>
        </w:tc>
      </w:tr>
    </w:tbl>
    <w:p>
      <w:pPr>
        <w:widowControl/>
        <w:tabs>
          <w:tab w:val="left" w:pos="8640"/>
        </w:tabs>
        <w:adjustRightInd w:val="0"/>
        <w:snapToGrid w:val="0"/>
        <w:spacing w:line="560" w:lineRule="exact"/>
        <w:rPr>
          <w:rFonts w:eastAsia="方正黑体简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eastAsia="黑体"/>
          <w:bCs/>
          <w:spacing w:val="6"/>
          <w:kern w:val="0"/>
          <w:sz w:val="32"/>
          <w:szCs w:val="32"/>
          <w:lang w:val="en-GB"/>
        </w:rPr>
      </w:pPr>
      <w:r>
        <w:rPr>
          <w:rFonts w:eastAsia="黑体"/>
          <w:bCs/>
          <w:spacing w:val="6"/>
          <w:kern w:val="0"/>
          <w:sz w:val="32"/>
          <w:szCs w:val="32"/>
          <w:lang w:val="en-GB"/>
        </w:rPr>
        <w:t>三、激励保障</w:t>
      </w:r>
    </w:p>
    <w:p>
      <w:pPr>
        <w:widowControl/>
        <w:adjustRightInd w:val="0"/>
        <w:snapToGrid w:val="0"/>
        <w:spacing w:line="44" w:lineRule="exact"/>
        <w:jc w:val="center"/>
        <w:rPr>
          <w:rFonts w:eastAsia="Times New Roman"/>
          <w:kern w:val="0"/>
          <w:sz w:val="24"/>
          <w:lang w:val="en-GB"/>
        </w:rPr>
      </w:pPr>
    </w:p>
    <w:tbl>
      <w:tblPr>
        <w:tblStyle w:val="24"/>
        <w:tblW w:w="8778"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6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9" w:hRule="atLeast"/>
        </w:trPr>
        <w:tc>
          <w:tcPr>
            <w:tcW w:w="1853" w:type="dxa"/>
          </w:tcPr>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49" w:lineRule="auto"/>
              <w:rPr>
                <w:rFonts w:eastAsia="Times New Roman"/>
                <w:kern w:val="0"/>
                <w:sz w:val="24"/>
                <w:lang w:val="en-GB"/>
              </w:rPr>
            </w:pPr>
          </w:p>
          <w:p>
            <w:pPr>
              <w:widowControl/>
              <w:adjustRightInd w:val="0"/>
              <w:snapToGrid w:val="0"/>
              <w:spacing w:line="249" w:lineRule="auto"/>
              <w:jc w:val="center"/>
              <w:rPr>
                <w:rFonts w:eastAsia="Times New Roman"/>
                <w:kern w:val="0"/>
                <w:sz w:val="24"/>
                <w:lang w:val="en-GB"/>
              </w:rPr>
            </w:pPr>
          </w:p>
          <w:p>
            <w:pPr>
              <w:widowControl/>
              <w:adjustRightInd w:val="0"/>
              <w:snapToGrid w:val="0"/>
              <w:spacing w:line="250" w:lineRule="auto"/>
              <w:jc w:val="center"/>
              <w:rPr>
                <w:rFonts w:eastAsia="Times New Roman"/>
                <w:kern w:val="0"/>
                <w:sz w:val="24"/>
                <w:lang w:val="en-GB"/>
              </w:rPr>
            </w:pPr>
          </w:p>
          <w:p>
            <w:pPr>
              <w:widowControl/>
              <w:adjustRightInd w:val="0"/>
              <w:snapToGrid w:val="0"/>
              <w:spacing w:line="250" w:lineRule="auto"/>
              <w:jc w:val="center"/>
              <w:rPr>
                <w:rFonts w:eastAsia="Times New Roman"/>
                <w:kern w:val="0"/>
                <w:sz w:val="24"/>
                <w:lang w:val="en-GB"/>
              </w:rPr>
            </w:pPr>
          </w:p>
          <w:p>
            <w:pPr>
              <w:widowControl/>
              <w:adjustRightInd w:val="0"/>
              <w:snapToGrid w:val="0"/>
              <w:spacing w:line="250" w:lineRule="auto"/>
              <w:jc w:val="center"/>
              <w:rPr>
                <w:rFonts w:eastAsia="Times New Roman"/>
                <w:kern w:val="0"/>
                <w:sz w:val="24"/>
                <w:lang w:val="en-GB"/>
              </w:rPr>
            </w:pPr>
          </w:p>
          <w:p>
            <w:pPr>
              <w:adjustRightInd w:val="0"/>
              <w:snapToGrid w:val="0"/>
              <w:spacing w:before="81" w:line="549" w:lineRule="exact"/>
              <w:ind w:left="14"/>
              <w:jc w:val="center"/>
              <w:rPr>
                <w:sz w:val="25"/>
                <w:szCs w:val="25"/>
              </w:rPr>
            </w:pPr>
            <w:r>
              <w:rPr>
                <w:rFonts w:eastAsia="楷体"/>
                <w:sz w:val="28"/>
                <w:szCs w:val="28"/>
              </w:rPr>
              <w:t>指导措施</w:t>
            </w:r>
          </w:p>
        </w:tc>
        <w:tc>
          <w:tcPr>
            <w:tcW w:w="6925" w:type="dxa"/>
          </w:tcPr>
          <w:p>
            <w:pPr>
              <w:adjustRightInd w:val="0"/>
              <w:snapToGrid w:val="0"/>
              <w:spacing w:line="400" w:lineRule="exact"/>
              <w:ind w:firstLine="480" w:firstLineChars="200"/>
              <w:rPr>
                <w:rFonts w:eastAsia="仿宋"/>
                <w:sz w:val="24"/>
                <w:lang w:val="en-GB"/>
              </w:rPr>
            </w:pPr>
            <w:r>
              <w:rPr>
                <w:rFonts w:eastAsia="仿宋"/>
                <w:sz w:val="24"/>
                <w:lang w:val="en-GB"/>
              </w:rPr>
              <w:t>为确保参赛团队在比赛中取得优异成绩，将提供以下指导措施：</w:t>
            </w:r>
          </w:p>
          <w:p>
            <w:pPr>
              <w:adjustRightInd w:val="0"/>
              <w:snapToGrid w:val="0"/>
              <w:spacing w:line="400" w:lineRule="exact"/>
              <w:ind w:firstLine="480" w:firstLineChars="200"/>
              <w:rPr>
                <w:rFonts w:eastAsia="仿宋"/>
                <w:sz w:val="24"/>
                <w:lang w:val="en-GB"/>
              </w:rPr>
            </w:pPr>
            <w:r>
              <w:rPr>
                <w:rFonts w:eastAsia="仿宋"/>
                <w:sz w:val="24"/>
                <w:lang w:val="en-GB"/>
              </w:rPr>
              <w:t>一是比赛前一周组织参赛团队参观人工智能、金融科技企业等应用场景，以便更好地了解实际应用需求和技术要求。</w:t>
            </w:r>
          </w:p>
          <w:p>
            <w:pPr>
              <w:adjustRightInd w:val="0"/>
              <w:snapToGrid w:val="0"/>
              <w:spacing w:line="400" w:lineRule="exact"/>
              <w:ind w:firstLine="480" w:firstLineChars="200"/>
              <w:rPr>
                <w:rFonts w:eastAsia="仿宋"/>
                <w:sz w:val="24"/>
                <w:lang w:val="en-GB"/>
              </w:rPr>
            </w:pPr>
            <w:r>
              <w:rPr>
                <w:rFonts w:eastAsia="仿宋"/>
                <w:sz w:val="24"/>
                <w:lang w:val="en-GB"/>
              </w:rPr>
              <w:t>二是比赛前两周根据参赛团队的需求和实际情况，组织参赛团队进行实践调研，深入了解人工智能行业的发展趋势和技术前沿。</w:t>
            </w:r>
          </w:p>
          <w:p>
            <w:pPr>
              <w:adjustRightInd w:val="0"/>
              <w:snapToGrid w:val="0"/>
              <w:spacing w:line="400" w:lineRule="exact"/>
              <w:ind w:firstLine="480" w:firstLineChars="200"/>
              <w:rPr>
                <w:rFonts w:eastAsia="仿宋"/>
                <w:sz w:val="24"/>
                <w:lang w:val="en-GB"/>
              </w:rPr>
            </w:pPr>
            <w:r>
              <w:rPr>
                <w:rFonts w:eastAsia="仿宋"/>
                <w:sz w:val="24"/>
                <w:lang w:val="en-GB"/>
              </w:rPr>
              <w:t>三是整理并提供以往相关研究资料和材料，以供参赛团队参考和学习。包括相关领域的学术论文、技术报告和案例分析等。</w:t>
            </w:r>
          </w:p>
          <w:p>
            <w:pPr>
              <w:adjustRightInd w:val="0"/>
              <w:snapToGrid w:val="0"/>
              <w:spacing w:line="400" w:lineRule="exact"/>
              <w:ind w:firstLine="480" w:firstLineChars="200"/>
              <w:rPr>
                <w:rFonts w:eastAsia="仿宋"/>
                <w:sz w:val="24"/>
                <w:lang w:val="en-GB"/>
              </w:rPr>
            </w:pPr>
            <w:r>
              <w:rPr>
                <w:rFonts w:eastAsia="仿宋"/>
                <w:sz w:val="24"/>
                <w:lang w:val="en-GB"/>
              </w:rPr>
              <w:t>四是为参赛团队配备专门的指导人员，提供技术支持和咨询服务。 指导人员将根据参赛团队的需求和实际情况进行安排，确保团队得到及时有效</w:t>
            </w:r>
            <w:r>
              <w:rPr>
                <w:rFonts w:hint="eastAsia" w:eastAsia="仿宋"/>
                <w:sz w:val="24"/>
                <w:lang w:val="en-GB"/>
              </w:rPr>
              <w:t>地</w:t>
            </w:r>
            <w:r>
              <w:rPr>
                <w:rFonts w:eastAsia="仿宋"/>
                <w:sz w:val="24"/>
                <w:lang w:val="en-GB"/>
              </w:rPr>
              <w:t>指导。</w:t>
            </w:r>
          </w:p>
          <w:p>
            <w:pPr>
              <w:adjustRightInd w:val="0"/>
              <w:snapToGrid w:val="0"/>
              <w:spacing w:line="400" w:lineRule="exact"/>
              <w:ind w:firstLine="480" w:firstLineChars="200"/>
              <w:rPr>
                <w:rFonts w:eastAsia="仿宋"/>
                <w:sz w:val="24"/>
                <w:lang w:val="en-GB"/>
              </w:rPr>
            </w:pPr>
            <w:r>
              <w:rPr>
                <w:rFonts w:eastAsia="仿宋"/>
                <w:sz w:val="24"/>
                <w:lang w:val="en-GB"/>
              </w:rPr>
              <w:t>五是邀请人工智能领域的专家参与比赛评审和交流活动，为参赛团 队提供更多的机会和资源，推动产教融合，促进参赛团队与产业界的合作与交流。</w:t>
            </w:r>
          </w:p>
          <w:p>
            <w:pPr>
              <w:adjustRightInd w:val="0"/>
              <w:snapToGrid w:val="0"/>
              <w:spacing w:line="400" w:lineRule="exact"/>
              <w:ind w:firstLine="480" w:firstLineChars="200"/>
              <w:rPr>
                <w:rFonts w:eastAsia="仿宋"/>
                <w:sz w:val="24"/>
                <w:lang w:val="en-GB"/>
              </w:rPr>
            </w:pPr>
            <w:r>
              <w:rPr>
                <w:rFonts w:eastAsia="仿宋"/>
                <w:sz w:val="24"/>
                <w:lang w:val="en-GB"/>
              </w:rPr>
              <w:t>为确保以上措施的有效落实，制定以下保障措施：</w:t>
            </w:r>
          </w:p>
          <w:p>
            <w:pPr>
              <w:adjustRightInd w:val="0"/>
              <w:snapToGrid w:val="0"/>
              <w:spacing w:line="400" w:lineRule="exact"/>
              <w:ind w:firstLine="480" w:firstLineChars="200"/>
              <w:rPr>
                <w:rFonts w:eastAsia="仿宋"/>
                <w:sz w:val="24"/>
                <w:lang w:val="en-GB"/>
              </w:rPr>
            </w:pPr>
            <w:r>
              <w:rPr>
                <w:rFonts w:eastAsia="仿宋"/>
                <w:sz w:val="24"/>
                <w:lang w:val="en-GB"/>
              </w:rPr>
              <w:t>一是制定完善的组织机构，成立比赛组委会，负责制定比赛规则， 组织实施比赛活动和提供指导帮助等。组委会将根据实际情况及时调整和完善比赛方案，确保比赛的顺利进行。</w:t>
            </w:r>
          </w:p>
          <w:p>
            <w:pPr>
              <w:adjustRightInd w:val="0"/>
              <w:snapToGrid w:val="0"/>
              <w:spacing w:line="400" w:lineRule="exact"/>
              <w:ind w:firstLine="480" w:firstLineChars="200"/>
              <w:rPr>
                <w:rFonts w:eastAsia="仿宋"/>
                <w:sz w:val="24"/>
                <w:lang w:val="en-GB"/>
              </w:rPr>
            </w:pPr>
            <w:r>
              <w:rPr>
                <w:rFonts w:eastAsia="仿宋"/>
                <w:sz w:val="24"/>
                <w:lang w:val="en-GB"/>
              </w:rPr>
              <w:t>二是加强沟通和协作，建立完善的沟通机制，及时了解参赛团队的需求和反馈意见，协调解决团队遇到的问题。同时，加强与产业界的合作与交流，共同推动参赛团队的发展和提高。</w:t>
            </w:r>
          </w:p>
          <w:p>
            <w:pPr>
              <w:adjustRightInd w:val="0"/>
              <w:snapToGrid w:val="0"/>
              <w:spacing w:line="400" w:lineRule="exact"/>
              <w:ind w:firstLine="480" w:firstLineChars="200"/>
              <w:rPr>
                <w:rFonts w:eastAsia="仿宋"/>
                <w:sz w:val="24"/>
                <w:lang w:val="en-GB"/>
              </w:rPr>
            </w:pPr>
            <w:r>
              <w:rPr>
                <w:rFonts w:eastAsia="仿宋"/>
                <w:sz w:val="24"/>
                <w:lang w:val="en-GB"/>
              </w:rPr>
              <w:t>三是加强宣传推广，通过多种渠道加强宣传推广，提高比赛的知名度和影响力。</w:t>
            </w:r>
          </w:p>
          <w:p>
            <w:pPr>
              <w:adjustRightInd w:val="0"/>
              <w:snapToGrid w:val="0"/>
              <w:spacing w:line="400" w:lineRule="exact"/>
              <w:ind w:firstLine="480" w:firstLineChars="200"/>
              <w:rPr>
                <w:sz w:val="25"/>
                <w:szCs w:val="25"/>
                <w:lang w:val="en-GB"/>
              </w:rPr>
            </w:pPr>
            <w:r>
              <w:rPr>
                <w:rFonts w:eastAsia="仿宋"/>
                <w:sz w:val="24"/>
                <w:lang w:val="en-GB"/>
              </w:rPr>
              <w:t>四是建立完善的评估机制，对参赛团队的表现和成果进行科学、公正</w:t>
            </w:r>
            <w:r>
              <w:rPr>
                <w:rFonts w:hint="eastAsia" w:eastAsia="仿宋"/>
                <w:sz w:val="24"/>
                <w:lang w:val="en-GB"/>
              </w:rPr>
              <w:t>地</w:t>
            </w:r>
            <w:r>
              <w:rPr>
                <w:rFonts w:eastAsia="仿宋"/>
                <w:sz w:val="24"/>
                <w:lang w:val="en-GB"/>
              </w:rPr>
              <w:t>评估。评估将根据团队提交的方案、实践调研报告、现场表现等多方面进行综合评价，以确保评估结果的客观性和准确性。</w:t>
            </w:r>
          </w:p>
        </w:tc>
      </w:tr>
    </w:tbl>
    <w:p>
      <w:pPr>
        <w:widowControl/>
        <w:adjustRightInd w:val="0"/>
        <w:snapToGrid w:val="0"/>
        <w:jc w:val="center"/>
        <w:rPr>
          <w:rFonts w:eastAsia="Times New Roman"/>
          <w:kern w:val="0"/>
          <w:sz w:val="24"/>
          <w:lang w:val="en-GB"/>
        </w:rPr>
      </w:pPr>
    </w:p>
    <w:p>
      <w:pPr>
        <w:sectPr>
          <w:footerReference r:id="rId4" w:type="default"/>
          <w:pgSz w:w="11900" w:h="16840"/>
          <w:pgMar w:top="1431" w:right="1185" w:bottom="1455" w:left="1655" w:header="0" w:footer="1306" w:gutter="0"/>
          <w:cols w:space="720" w:num="1"/>
        </w:sectPr>
      </w:pPr>
    </w:p>
    <w:p>
      <w:pPr>
        <w:widowControl/>
        <w:adjustRightInd w:val="0"/>
        <w:snapToGrid w:val="0"/>
        <w:spacing w:line="183" w:lineRule="exact"/>
        <w:jc w:val="center"/>
        <w:rPr>
          <w:rFonts w:eastAsia="Times New Roman"/>
          <w:kern w:val="0"/>
          <w:sz w:val="24"/>
          <w:lang w:val="en-GB"/>
        </w:rPr>
      </w:pPr>
    </w:p>
    <w:tbl>
      <w:tblPr>
        <w:tblStyle w:val="24"/>
        <w:tblW w:w="8697"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6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0" w:hRule="atLeast"/>
        </w:trPr>
        <w:tc>
          <w:tcPr>
            <w:tcW w:w="1857" w:type="dxa"/>
          </w:tcPr>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6" w:lineRule="auto"/>
              <w:jc w:val="center"/>
              <w:rPr>
                <w:rFonts w:eastAsia="Times New Roman"/>
                <w:kern w:val="0"/>
                <w:sz w:val="24"/>
                <w:lang w:val="en-GB"/>
              </w:rPr>
            </w:pPr>
          </w:p>
          <w:p>
            <w:pPr>
              <w:widowControl/>
              <w:adjustRightInd w:val="0"/>
              <w:snapToGrid w:val="0"/>
              <w:spacing w:line="247" w:lineRule="auto"/>
              <w:jc w:val="center"/>
              <w:rPr>
                <w:rFonts w:eastAsia="Times New Roman"/>
                <w:kern w:val="0"/>
                <w:sz w:val="24"/>
                <w:lang w:val="en-GB"/>
              </w:rPr>
            </w:pPr>
          </w:p>
          <w:p>
            <w:pPr>
              <w:widowControl/>
              <w:adjustRightInd w:val="0"/>
              <w:snapToGrid w:val="0"/>
              <w:spacing w:line="247" w:lineRule="auto"/>
              <w:jc w:val="center"/>
              <w:rPr>
                <w:rFonts w:eastAsia="Times New Roman"/>
                <w:kern w:val="0"/>
                <w:sz w:val="24"/>
                <w:lang w:val="en-GB"/>
              </w:rPr>
            </w:pPr>
          </w:p>
          <w:p>
            <w:pPr>
              <w:widowControl/>
              <w:adjustRightInd w:val="0"/>
              <w:snapToGrid w:val="0"/>
              <w:spacing w:line="247" w:lineRule="auto"/>
              <w:jc w:val="center"/>
              <w:rPr>
                <w:rFonts w:eastAsia="Times New Roman"/>
                <w:kern w:val="0"/>
                <w:sz w:val="24"/>
                <w:lang w:val="en-GB"/>
              </w:rPr>
            </w:pPr>
          </w:p>
          <w:p>
            <w:pPr>
              <w:widowControl/>
              <w:adjustRightInd w:val="0"/>
              <w:snapToGrid w:val="0"/>
              <w:spacing w:line="247" w:lineRule="auto"/>
              <w:jc w:val="center"/>
              <w:rPr>
                <w:rFonts w:eastAsia="Times New Roman"/>
                <w:kern w:val="0"/>
                <w:sz w:val="24"/>
                <w:lang w:val="en-GB"/>
              </w:rPr>
            </w:pPr>
          </w:p>
          <w:p>
            <w:pPr>
              <w:widowControl/>
              <w:adjustRightInd w:val="0"/>
              <w:snapToGrid w:val="0"/>
              <w:spacing w:line="247" w:lineRule="auto"/>
              <w:jc w:val="center"/>
              <w:rPr>
                <w:rFonts w:eastAsia="Times New Roman"/>
                <w:kern w:val="0"/>
                <w:sz w:val="24"/>
                <w:lang w:val="en-GB"/>
              </w:rPr>
            </w:pPr>
          </w:p>
          <w:p>
            <w:pPr>
              <w:widowControl/>
              <w:adjustRightInd w:val="0"/>
              <w:snapToGrid w:val="0"/>
              <w:spacing w:line="247" w:lineRule="auto"/>
              <w:jc w:val="center"/>
              <w:rPr>
                <w:rFonts w:eastAsia="Times New Roman"/>
                <w:kern w:val="0"/>
                <w:sz w:val="24"/>
                <w:lang w:val="en-GB"/>
              </w:rPr>
            </w:pPr>
          </w:p>
          <w:p>
            <w:pPr>
              <w:widowControl/>
              <w:adjustRightInd w:val="0"/>
              <w:snapToGrid w:val="0"/>
              <w:spacing w:line="247" w:lineRule="auto"/>
              <w:jc w:val="center"/>
              <w:rPr>
                <w:rFonts w:eastAsia="Times New Roman"/>
                <w:kern w:val="0"/>
                <w:sz w:val="24"/>
                <w:lang w:val="en-GB"/>
              </w:rPr>
            </w:pPr>
          </w:p>
          <w:p>
            <w:pPr>
              <w:adjustRightInd w:val="0"/>
              <w:snapToGrid w:val="0"/>
              <w:spacing w:before="81" w:line="549" w:lineRule="exact"/>
              <w:ind w:left="14"/>
              <w:jc w:val="center"/>
              <w:rPr>
                <w:sz w:val="25"/>
                <w:szCs w:val="25"/>
                <w:lang w:val="en-GB"/>
              </w:rPr>
            </w:pPr>
            <w:r>
              <w:rPr>
                <w:rFonts w:eastAsia="楷体"/>
                <w:spacing w:val="8"/>
                <w:position w:val="22"/>
                <w:sz w:val="28"/>
                <w:szCs w:val="28"/>
                <w:lang w:val="en-GB"/>
              </w:rPr>
              <w:t>奖励措施</w:t>
            </w:r>
          </w:p>
        </w:tc>
        <w:tc>
          <w:tcPr>
            <w:tcW w:w="6840" w:type="dxa"/>
          </w:tcPr>
          <w:p>
            <w:pPr>
              <w:adjustRightInd w:val="0"/>
              <w:snapToGrid w:val="0"/>
              <w:spacing w:line="400" w:lineRule="exact"/>
              <w:ind w:firstLine="480" w:firstLineChars="200"/>
              <w:jc w:val="left"/>
              <w:rPr>
                <w:rFonts w:eastAsia="仿宋"/>
                <w:sz w:val="24"/>
                <w:lang w:val="en-GB"/>
              </w:rPr>
            </w:pPr>
            <w:r>
              <w:rPr>
                <w:rFonts w:hint="eastAsia" w:eastAsia="仿宋"/>
                <w:sz w:val="24"/>
                <w:lang w:val="en-GB"/>
              </w:rPr>
              <w:t>“</w:t>
            </w:r>
            <w:r>
              <w:rPr>
                <w:rFonts w:eastAsia="仿宋"/>
                <w:sz w:val="24"/>
                <w:lang w:val="en-GB"/>
              </w:rPr>
              <w:t>擂主</w:t>
            </w:r>
            <w:r>
              <w:rPr>
                <w:rFonts w:hint="eastAsia" w:eastAsia="仿宋"/>
                <w:sz w:val="24"/>
                <w:lang w:val="en-GB"/>
              </w:rPr>
              <w:t>”</w:t>
            </w:r>
            <w:r>
              <w:rPr>
                <w:rFonts w:eastAsia="仿宋"/>
                <w:sz w:val="24"/>
                <w:lang w:val="en-GB"/>
              </w:rPr>
              <w:t>团队：在获得金奖的团队中，将按照比赛最佳成绩选择一个团队作为</w:t>
            </w:r>
            <w:r>
              <w:rPr>
                <w:rFonts w:hint="eastAsia" w:eastAsia="仿宋"/>
                <w:sz w:val="24"/>
                <w:lang w:val="en-GB"/>
              </w:rPr>
              <w:t>“</w:t>
            </w:r>
            <w:r>
              <w:rPr>
                <w:rFonts w:eastAsia="仿宋"/>
                <w:sz w:val="24"/>
                <w:lang w:val="en-GB"/>
              </w:rPr>
              <w:t>擂主</w:t>
            </w:r>
            <w:r>
              <w:rPr>
                <w:rFonts w:hint="eastAsia" w:eastAsia="仿宋"/>
                <w:sz w:val="24"/>
                <w:lang w:val="en-GB"/>
              </w:rPr>
              <w:t>”</w:t>
            </w:r>
            <w:r>
              <w:rPr>
                <w:rFonts w:eastAsia="仿宋"/>
                <w:sz w:val="24"/>
                <w:lang w:val="en-GB"/>
              </w:rPr>
              <w:t>团队，进行后期的创业实践。该团队将获得额外的实践机会和资金支持，将在比赛结束后与该团队签订合作协议时进行兑现。这些奖励措施将根据该团队的具体需求和实际情况进行定制化安排，以便更好地将创意转化为实际产品或服务。</w:t>
            </w:r>
          </w:p>
          <w:p>
            <w:pPr>
              <w:adjustRightInd w:val="0"/>
              <w:snapToGrid w:val="0"/>
              <w:spacing w:line="400" w:lineRule="exact"/>
              <w:ind w:firstLine="480" w:firstLineChars="200"/>
              <w:jc w:val="left"/>
              <w:rPr>
                <w:rFonts w:eastAsia="仿宋"/>
                <w:sz w:val="24"/>
                <w:lang w:val="en-GB"/>
              </w:rPr>
            </w:pPr>
            <w:r>
              <w:rPr>
                <w:rFonts w:eastAsia="仿宋"/>
                <w:sz w:val="24"/>
                <w:lang w:val="en-GB"/>
              </w:rPr>
              <w:t>实践机会、就业岗位：获奖团队成员将获得实践机会和就业岗位的推荐。与相关企业和机构合作，为获奖团队成员提供实习和就业机会，帮助他们更好地实现个人职业发展。</w:t>
            </w:r>
          </w:p>
          <w:p>
            <w:pPr>
              <w:adjustRightInd w:val="0"/>
              <w:snapToGrid w:val="0"/>
              <w:spacing w:line="400" w:lineRule="exact"/>
              <w:ind w:firstLine="480" w:firstLineChars="200"/>
              <w:jc w:val="left"/>
              <w:rPr>
                <w:rFonts w:eastAsia="仿宋"/>
                <w:sz w:val="24"/>
                <w:lang w:val="en-GB"/>
              </w:rPr>
            </w:pPr>
            <w:r>
              <w:rPr>
                <w:rFonts w:eastAsia="仿宋"/>
                <w:sz w:val="24"/>
                <w:lang w:val="en-GB"/>
              </w:rPr>
              <w:t>人才引进：对于优秀的获奖团队成员，将积极推荐给相关企业和机构，并为其提供人才引进政策的支持和求职</w:t>
            </w:r>
            <w:r>
              <w:rPr>
                <w:rFonts w:hint="eastAsia" w:eastAsia="仿宋"/>
                <w:sz w:val="24"/>
                <w:lang w:val="en-GB"/>
              </w:rPr>
              <w:t>“</w:t>
            </w:r>
            <w:r>
              <w:rPr>
                <w:rFonts w:eastAsia="仿宋"/>
                <w:sz w:val="24"/>
                <w:lang w:val="en-GB"/>
              </w:rPr>
              <w:t>绿色通道</w:t>
            </w:r>
            <w:r>
              <w:rPr>
                <w:rFonts w:hint="eastAsia" w:eastAsia="仿宋"/>
                <w:sz w:val="24"/>
                <w:lang w:val="en-GB"/>
              </w:rPr>
              <w:t>”</w:t>
            </w:r>
            <w:r>
              <w:rPr>
                <w:rFonts w:eastAsia="仿宋"/>
                <w:sz w:val="24"/>
                <w:lang w:val="en-GB"/>
              </w:rPr>
              <w:t>。</w:t>
            </w:r>
          </w:p>
          <w:p>
            <w:pPr>
              <w:adjustRightInd w:val="0"/>
              <w:snapToGrid w:val="0"/>
              <w:spacing w:line="400" w:lineRule="exact"/>
              <w:ind w:firstLine="480" w:firstLineChars="200"/>
              <w:jc w:val="left"/>
              <w:rPr>
                <w:sz w:val="25"/>
                <w:szCs w:val="25"/>
                <w:lang w:val="en-GB"/>
              </w:rPr>
            </w:pPr>
            <w:r>
              <w:rPr>
                <w:rFonts w:eastAsia="仿宋"/>
                <w:sz w:val="24"/>
                <w:lang w:val="en-GB"/>
              </w:rPr>
              <w:t>产教融合及成果孵化政策：将积极推动产教融合，促进获奖团队与产业界的合作与交流。同时，将为获奖团队提供成果孵化的政策支持，帮助其将创意转化为实际产品或服务，实现商业价值。</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-04</w:t>
      </w:r>
    </w:p>
    <w:p>
      <w:pPr>
        <w:widowControl/>
        <w:tabs>
          <w:tab w:val="left" w:pos="8640"/>
        </w:tabs>
        <w:adjustRightInd w:val="0"/>
        <w:snapToGrid w:val="0"/>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07"/>
        <w:gridCol w:w="139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13" w:type="dxa"/>
            <w:vAlign w:val="center"/>
          </w:tcPr>
          <w:p>
            <w:pPr>
              <w:widowControl/>
              <w:adjustRightInd w:val="0"/>
              <w:snapToGrid w:val="0"/>
              <w:spacing w:line="560" w:lineRule="exact"/>
              <w:jc w:val="center"/>
              <w:rPr>
                <w:rFonts w:eastAsia="方正楷体简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13" w:type="dxa"/>
            <w:vAlign w:val="center"/>
          </w:tcPr>
          <w:p>
            <w:pPr>
              <w:widowControl/>
              <w:adjustRightInd w:val="0"/>
              <w:snapToGrid w:val="0"/>
              <w:spacing w:line="560" w:lineRule="exact"/>
              <w:jc w:val="center"/>
              <w:rPr>
                <w:rFonts w:eastAsia="楷体"/>
                <w:kern w:val="0"/>
                <w:sz w:val="28"/>
                <w:szCs w:val="32"/>
                <w:lang w:val="en-GB"/>
              </w:rPr>
            </w:pPr>
            <w:r>
              <w:rPr>
                <w:rFonts w:eastAsia="楷体"/>
                <w:kern w:val="0"/>
                <w:sz w:val="28"/>
                <w:szCs w:val="32"/>
                <w:lang w:val="en-GB"/>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Align w:val="center"/>
          </w:tcPr>
          <w:p>
            <w:pPr>
              <w:widowControl/>
              <w:adjustRightInd w:val="0"/>
              <w:snapToGri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北京市顺义区双河大街99号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1513" w:type="dxa"/>
            <w:vAlign w:val="center"/>
          </w:tcPr>
          <w:p>
            <w:pPr>
              <w:widowControl/>
              <w:adjustRightInd w:val="0"/>
              <w:snapToGri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北京汽车集团有限公司是中国汽车行业的骨干企业，成立于1958年，总部位于北京。现已发展成长为年营业收入5000亿元左右、连续11年入围世界500强的大型企业集团，建立起涵盖整车及零部件研发制造、汽车服务贸易、综合出行服务、金融与投资等业务的完整产业链，具有</w:t>
            </w:r>
            <w:r>
              <w:rPr>
                <w:rFonts w:hint="eastAsia" w:eastAsia="仿宋"/>
                <w:kern w:val="0"/>
                <w:sz w:val="24"/>
              </w:rPr>
              <w:t>“</w:t>
            </w:r>
            <w:r>
              <w:rPr>
                <w:rFonts w:eastAsia="仿宋"/>
                <w:kern w:val="0"/>
                <w:sz w:val="24"/>
              </w:rPr>
              <w:t>汽车产品品种全、新能源汽车市场保有量名列前茅</w:t>
            </w:r>
            <w:r>
              <w:rPr>
                <w:rFonts w:hint="eastAsia" w:eastAsia="仿宋"/>
                <w:kern w:val="0"/>
                <w:sz w:val="24"/>
              </w:rPr>
              <w:t>”</w:t>
            </w:r>
            <w:r>
              <w:rPr>
                <w:rFonts w:eastAsia="仿宋"/>
                <w:kern w:val="0"/>
                <w:sz w:val="24"/>
              </w:rPr>
              <w:t>的鲜明特点。</w:t>
            </w:r>
          </w:p>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北汽集团现聚焦整车、零部件、服务贸易三大主营业务，旗下拥有自主乘用车——ARCFOX极狐、BEIJING、北京；自主商用车——北汽福田、昌河汽车；合资品牌——北京奔驰、福建奔驰、北京现代、福田戴姆勒，产品累计销量突破3100万辆，销往全球110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13" w:type="dxa"/>
            <w:vAlign w:val="center"/>
          </w:tcPr>
          <w:p>
            <w:pPr>
              <w:widowControl/>
              <w:adjustRightInd w:val="0"/>
              <w:snapToGrid w:val="0"/>
              <w:spacing w:line="560" w:lineRule="exact"/>
              <w:jc w:val="center"/>
              <w:rPr>
                <w:rFonts w:eastAsia="楷体"/>
                <w:kern w:val="0"/>
                <w:sz w:val="28"/>
                <w:szCs w:val="32"/>
                <w:lang w:val="en-GB"/>
              </w:rPr>
            </w:pPr>
            <w:r>
              <w:rPr>
                <w:rFonts w:eastAsia="楷体"/>
                <w:kern w:val="0"/>
                <w:sz w:val="28"/>
                <w:szCs w:val="32"/>
              </w:rPr>
              <w:t>联系人</w:t>
            </w:r>
          </w:p>
        </w:tc>
        <w:tc>
          <w:tcPr>
            <w:tcW w:w="2607" w:type="dxa"/>
            <w:vAlign w:val="center"/>
          </w:tcPr>
          <w:p>
            <w:pPr>
              <w:widowControl/>
              <w:adjustRightInd w:val="0"/>
              <w:snapToGrid w:val="0"/>
              <w:jc w:val="center"/>
              <w:rPr>
                <w:rFonts w:eastAsia="方正仿宋简体"/>
                <w:bCs/>
                <w:spacing w:val="6"/>
                <w:kern w:val="0"/>
                <w:sz w:val="24"/>
                <w:szCs w:val="28"/>
              </w:rPr>
            </w:pPr>
            <w:r>
              <w:rPr>
                <w:rFonts w:eastAsia="仿宋"/>
                <w:bCs/>
                <w:spacing w:val="6"/>
                <w:kern w:val="0"/>
                <w:sz w:val="24"/>
                <w:szCs w:val="28"/>
              </w:rPr>
              <w:t>笪老师</w:t>
            </w:r>
          </w:p>
        </w:tc>
        <w:tc>
          <w:tcPr>
            <w:tcW w:w="1390" w:type="dxa"/>
            <w:vAlign w:val="center"/>
          </w:tcPr>
          <w:p>
            <w:pPr>
              <w:widowControl/>
              <w:adjustRightInd w:val="0"/>
              <w:snapToGrid w:val="0"/>
              <w:jc w:val="center"/>
              <w:rPr>
                <w:rFonts w:eastAsia="楷体"/>
                <w:kern w:val="0"/>
                <w:sz w:val="28"/>
                <w:szCs w:val="32"/>
                <w:lang w:val="en-GB"/>
              </w:rPr>
            </w:pPr>
            <w:r>
              <w:rPr>
                <w:rFonts w:eastAsia="楷体"/>
                <w:kern w:val="0"/>
                <w:sz w:val="28"/>
                <w:szCs w:val="32"/>
              </w:rPr>
              <w:t>联系方式</w:t>
            </w:r>
          </w:p>
        </w:tc>
        <w:tc>
          <w:tcPr>
            <w:tcW w:w="2935" w:type="dxa"/>
            <w:vAlign w:val="center"/>
          </w:tcPr>
          <w:p>
            <w:pPr>
              <w:widowControl/>
              <w:adjustRightInd w:val="0"/>
              <w:snapToGrid w:val="0"/>
              <w:jc w:val="center"/>
              <w:rPr>
                <w:rFonts w:eastAsia="方正仿宋简体"/>
                <w:kern w:val="0"/>
                <w:sz w:val="24"/>
                <w:lang w:val="en-GB"/>
              </w:rPr>
            </w:pPr>
            <w:r>
              <w:rPr>
                <w:rFonts w:eastAsia="方正仿宋简体"/>
                <w:kern w:val="0"/>
                <w:sz w:val="24"/>
                <w:lang w:val="en-GB"/>
              </w:rPr>
              <w:t>18611131074</w:t>
            </w:r>
          </w:p>
        </w:tc>
      </w:tr>
    </w:tbl>
    <w:p>
      <w:pPr>
        <w:widowControl/>
        <w:tabs>
          <w:tab w:val="left" w:pos="8640"/>
        </w:tabs>
        <w:adjustRightInd w:val="0"/>
        <w:snapToGrid w:val="0"/>
        <w:spacing w:line="560" w:lineRule="exact"/>
        <w:rPr>
          <w:rFonts w:eastAsia="方正黑体简体"/>
          <w:bCs/>
          <w:spacing w:val="6"/>
          <w:kern w:val="0"/>
          <w:sz w:val="32"/>
          <w:szCs w:val="32"/>
          <w:lang w:val="en-GB"/>
        </w:rPr>
      </w:pPr>
    </w:p>
    <w:p>
      <w:pPr>
        <w:widowControl/>
        <w:tabs>
          <w:tab w:val="left" w:pos="8640"/>
        </w:tabs>
        <w:adjustRightInd w:val="0"/>
        <w:snapToGrid w:val="0"/>
        <w:spacing w:line="560" w:lineRule="exac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918"/>
        <w:gridCol w:w="6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0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AI大模型车载数字人助理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0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计算机科学、网络工程、通信电子、工业设计、车辆工程、机械工程等相关专业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0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lang w:eastAsia="zh-Hans"/>
              </w:rPr>
              <w:t>《新一代人工智能发展规划》：该政策由科技部发布，提出到2025年，人工智能基础理论实现重大突破，部分技术与应用达到世界领先水平，人工智能成为带动我国产业升级和经济转型的主要动力，智能社会建设取得积极进展。其中，大模型作为人工智能的重要技术，被视为推动人工智能发展的重要力量</w:t>
            </w:r>
            <w:r>
              <w:rPr>
                <w:rFonts w:eastAsia="仿宋"/>
                <w:kern w:val="0"/>
                <w:sz w:val="24"/>
              </w:rPr>
              <w:t>；</w:t>
            </w:r>
          </w:p>
          <w:p>
            <w:pPr>
              <w:widowControl/>
              <w:adjustRightInd w:val="0"/>
              <w:spacing w:line="400" w:lineRule="exact"/>
              <w:ind w:firstLine="480" w:firstLineChars="200"/>
              <w:jc w:val="left"/>
              <w:rPr>
                <w:rFonts w:eastAsia="仿宋"/>
                <w:kern w:val="0"/>
                <w:sz w:val="24"/>
              </w:rPr>
            </w:pPr>
            <w:r>
              <w:rPr>
                <w:rFonts w:eastAsia="仿宋"/>
                <w:kern w:val="0"/>
                <w:sz w:val="24"/>
                <w:lang w:eastAsia="zh-Hans"/>
              </w:rPr>
              <w:t>大模型的快速兴起及广泛应用对</w:t>
            </w:r>
            <w:r>
              <w:rPr>
                <w:rFonts w:eastAsia="仿宋"/>
                <w:kern w:val="0"/>
                <w:sz w:val="24"/>
              </w:rPr>
              <w:t>车载</w:t>
            </w:r>
            <w:r>
              <w:rPr>
                <w:rFonts w:eastAsia="仿宋"/>
                <w:kern w:val="0"/>
                <w:sz w:val="24"/>
                <w:lang w:eastAsia="zh-Hans"/>
              </w:rPr>
              <w:t>智能座舱发展带来了机遇和挑战，基于大模型的数字人</w:t>
            </w:r>
            <w:r>
              <w:rPr>
                <w:rFonts w:eastAsia="仿宋"/>
                <w:kern w:val="0"/>
                <w:sz w:val="24"/>
              </w:rPr>
              <w:t>助理</w:t>
            </w:r>
            <w:r>
              <w:rPr>
                <w:rFonts w:eastAsia="仿宋"/>
                <w:kern w:val="0"/>
                <w:sz w:val="24"/>
                <w:lang w:eastAsia="zh-Hans"/>
              </w:rPr>
              <w:t>智能语音系统：以语音为入口赋能智能座舱，使座舱服务个性化定制成为可能，拟人化交互和丰富生态调用将成为提升用户体验的核心关键</w:t>
            </w:r>
            <w:r>
              <w:rPr>
                <w:rFonts w:eastAsia="仿宋"/>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09" w:type="dxa"/>
            <w:tcBorders>
              <w:bottom w:val="single" w:color="auto" w:sz="4" w:space="0"/>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lang w:eastAsia="zh-Hans"/>
              </w:rPr>
            </w:pPr>
            <w:r>
              <w:rPr>
                <w:rFonts w:eastAsia="仿宋"/>
                <w:kern w:val="0"/>
                <w:sz w:val="24"/>
                <w:lang w:eastAsia="zh-Hans"/>
              </w:rPr>
              <w:t>充分发挥大模型在识别理解、自然语言处理、图像识别等方面的优势，高效整合转化智能用车场景下用户需求、用户</w:t>
            </w:r>
            <w:r>
              <w:rPr>
                <w:rFonts w:hint="eastAsia" w:eastAsia="仿宋"/>
                <w:kern w:val="0"/>
                <w:sz w:val="24"/>
              </w:rPr>
              <w:t>“</w:t>
            </w:r>
            <w:r>
              <w:rPr>
                <w:rFonts w:eastAsia="仿宋"/>
                <w:kern w:val="0"/>
                <w:sz w:val="24"/>
                <w:lang w:eastAsia="zh-Hans"/>
              </w:rPr>
              <w:t>旅程</w:t>
            </w:r>
            <w:r>
              <w:rPr>
                <w:rFonts w:hint="eastAsia" w:eastAsia="仿宋"/>
                <w:kern w:val="0"/>
                <w:sz w:val="24"/>
              </w:rPr>
              <w:t>”</w:t>
            </w:r>
            <w:r>
              <w:rPr>
                <w:rFonts w:eastAsia="仿宋"/>
                <w:kern w:val="0"/>
                <w:sz w:val="24"/>
                <w:lang w:eastAsia="zh-Hans"/>
              </w:rPr>
              <w:t>所产生的数据内容，对生产方向和市场趋势把握提供指导性作用。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918" w:type="dxa"/>
            <w:tcBorders>
              <w:right w:val="single" w:color="auto" w:sz="4" w:space="0"/>
              <w:tl2br w:val="nil"/>
              <w:tr2bl w:val="nil"/>
            </w:tcBorders>
            <w:shd w:val="clear" w:color="auto" w:fill="auto"/>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adjustRightInd w:val="0"/>
              <w:spacing w:line="400" w:lineRule="exact"/>
              <w:ind w:firstLine="480" w:firstLineChars="200"/>
              <w:jc w:val="left"/>
              <w:rPr>
                <w:rFonts w:eastAsia="仿宋"/>
                <w:kern w:val="0"/>
                <w:sz w:val="24"/>
                <w:lang w:eastAsia="zh-Hans"/>
              </w:rPr>
            </w:pPr>
            <w:r>
              <w:rPr>
                <w:rFonts w:eastAsia="仿宋"/>
                <w:kern w:val="0"/>
                <w:sz w:val="24"/>
                <w:lang w:eastAsia="zh-Hans"/>
              </w:rPr>
              <w:t>结合当前智能电动汽车发展情况和趋势，采样分析真实用户用车需求，并通过产品化的形式，转化用户需求形成可提升用户体验的设计方案</w:t>
            </w:r>
            <w:r>
              <w:rPr>
                <w:rFonts w:eastAsia="仿宋"/>
                <w:kern w:val="0"/>
                <w:sz w:val="24"/>
              </w:rPr>
              <w:t>：</w:t>
            </w:r>
          </w:p>
          <w:p>
            <w:pPr>
              <w:widowControl/>
              <w:adjustRightInd w:val="0"/>
              <w:spacing w:line="400" w:lineRule="exact"/>
              <w:ind w:firstLine="480" w:firstLineChars="200"/>
              <w:jc w:val="left"/>
              <w:rPr>
                <w:rFonts w:eastAsia="仿宋"/>
                <w:kern w:val="0"/>
                <w:sz w:val="24"/>
              </w:rPr>
            </w:pPr>
            <w:r>
              <w:rPr>
                <w:rFonts w:eastAsia="仿宋"/>
                <w:kern w:val="0"/>
                <w:sz w:val="24"/>
                <w:lang w:eastAsia="zh-Hans"/>
              </w:rPr>
              <w:t>基于大模型的数字人</w:t>
            </w:r>
            <w:r>
              <w:rPr>
                <w:rFonts w:eastAsia="仿宋"/>
                <w:kern w:val="0"/>
                <w:sz w:val="24"/>
              </w:rPr>
              <w:t>车载</w:t>
            </w:r>
            <w:r>
              <w:rPr>
                <w:rFonts w:eastAsia="仿宋"/>
                <w:kern w:val="0"/>
                <w:sz w:val="24"/>
                <w:lang w:eastAsia="zh-Hans"/>
              </w:rPr>
              <w:t>智能语音系统</w:t>
            </w:r>
            <w:r>
              <w:rPr>
                <w:rFonts w:eastAsia="仿宋"/>
                <w:kern w:val="0"/>
                <w:sz w:val="24"/>
              </w:rPr>
              <w:t>，</w:t>
            </w:r>
            <w:r>
              <w:rPr>
                <w:rFonts w:eastAsia="仿宋"/>
                <w:kern w:val="0"/>
                <w:sz w:val="24"/>
                <w:lang w:eastAsia="zh-Hans"/>
              </w:rPr>
              <w:t>以语音为入口</w:t>
            </w:r>
            <w:r>
              <w:rPr>
                <w:rFonts w:eastAsia="仿宋"/>
                <w:kern w:val="0"/>
                <w:sz w:val="24"/>
              </w:rPr>
              <w:t>，可</w:t>
            </w:r>
            <w:r>
              <w:rPr>
                <w:rFonts w:eastAsia="仿宋"/>
                <w:kern w:val="0"/>
                <w:sz w:val="24"/>
                <w:lang w:eastAsia="zh-Hans"/>
              </w:rPr>
              <w:t>感知用户情绪和意图，利用大模型的自然语言理解、</w:t>
            </w:r>
            <w:r>
              <w:rPr>
                <w:rFonts w:eastAsia="仿宋"/>
                <w:kern w:val="0"/>
                <w:sz w:val="24"/>
              </w:rPr>
              <w:t>完成对用户使用在车内使用场景的覆盖及创新创意；</w:t>
            </w:r>
          </w:p>
          <w:p>
            <w:pPr>
              <w:widowControl/>
              <w:adjustRightInd w:val="0"/>
              <w:spacing w:line="400" w:lineRule="exact"/>
              <w:ind w:firstLine="480" w:firstLineChars="200"/>
              <w:jc w:val="left"/>
              <w:rPr>
                <w:rFonts w:eastAsia="仿宋"/>
                <w:kern w:val="0"/>
                <w:sz w:val="24"/>
                <w:lang w:eastAsia="zh-Hans"/>
              </w:rPr>
            </w:pPr>
            <w:r>
              <w:rPr>
                <w:rFonts w:eastAsia="仿宋"/>
                <w:kern w:val="0"/>
                <w:sz w:val="24"/>
                <w:lang w:eastAsia="zh-Hans"/>
              </w:rPr>
              <w:t>通过数字人的表情、动作、语气和话术给予用户情感反馈，生成适合用户当前心情的情景模式推荐符合当前场景的服务</w:t>
            </w:r>
            <w:r>
              <w:rPr>
                <w:rFonts w:eastAsia="仿宋"/>
                <w:kern w:val="0"/>
                <w:sz w:val="24"/>
              </w:rPr>
              <w:t>。</w:t>
            </w:r>
          </w:p>
          <w:p>
            <w:pPr>
              <w:widowControl/>
              <w:adjustRightInd w:val="0"/>
              <w:spacing w:line="400" w:lineRule="exact"/>
              <w:ind w:firstLine="482" w:firstLineChars="200"/>
              <w:jc w:val="left"/>
              <w:rPr>
                <w:rFonts w:eastAsia="仿宋"/>
                <w:b/>
                <w:bCs/>
                <w:kern w:val="0"/>
                <w:sz w:val="24"/>
                <w:lang w:eastAsia="zh-Hans"/>
              </w:rPr>
            </w:pPr>
            <w:r>
              <w:rPr>
                <w:rFonts w:eastAsia="仿宋"/>
                <w:b/>
                <w:bCs/>
                <w:kern w:val="0"/>
                <w:sz w:val="24"/>
                <w:lang w:eastAsia="zh-Hans"/>
              </w:rPr>
              <w:t>作品要求：</w:t>
            </w:r>
          </w:p>
          <w:p>
            <w:pPr>
              <w:widowControl/>
              <w:adjustRightInd w:val="0"/>
              <w:spacing w:line="400" w:lineRule="exact"/>
              <w:ind w:firstLine="480" w:firstLineChars="200"/>
              <w:jc w:val="left"/>
              <w:rPr>
                <w:rFonts w:eastAsia="仿宋"/>
                <w:kern w:val="0"/>
                <w:sz w:val="24"/>
              </w:rPr>
            </w:pPr>
            <w:r>
              <w:rPr>
                <w:rFonts w:eastAsia="仿宋"/>
                <w:kern w:val="0"/>
                <w:sz w:val="24"/>
              </w:rPr>
              <w:t>1.本工作涉及交叉学科不限，可自由组队。</w:t>
            </w:r>
          </w:p>
          <w:p>
            <w:pPr>
              <w:widowControl/>
              <w:adjustRightInd w:val="0"/>
              <w:spacing w:line="400" w:lineRule="exact"/>
              <w:ind w:firstLine="480" w:firstLineChars="200"/>
              <w:jc w:val="left"/>
              <w:rPr>
                <w:rFonts w:eastAsia="仿宋"/>
                <w:kern w:val="0"/>
                <w:sz w:val="24"/>
              </w:rPr>
            </w:pPr>
            <w:r>
              <w:rPr>
                <w:rFonts w:eastAsia="仿宋"/>
                <w:kern w:val="0"/>
                <w:sz w:val="24"/>
              </w:rPr>
              <w:t>2.完成作品的过程需包括调研、统计、数据分析、设计等环节。</w:t>
            </w:r>
          </w:p>
          <w:p>
            <w:pPr>
              <w:widowControl/>
              <w:adjustRightInd w:val="0"/>
              <w:spacing w:line="400" w:lineRule="exact"/>
              <w:ind w:firstLine="480" w:firstLineChars="200"/>
              <w:jc w:val="left"/>
              <w:rPr>
                <w:rFonts w:eastAsia="仿宋"/>
                <w:kern w:val="0"/>
                <w:sz w:val="24"/>
              </w:rPr>
            </w:pPr>
            <w:r>
              <w:rPr>
                <w:rFonts w:eastAsia="仿宋"/>
                <w:kern w:val="0"/>
                <w:sz w:val="24"/>
              </w:rPr>
              <w:t>3.作品应包括设计方案及原始调研信息，并包含方法论的总结。</w:t>
            </w:r>
          </w:p>
          <w:p>
            <w:pPr>
              <w:widowControl/>
              <w:adjustRightInd w:val="0"/>
              <w:spacing w:line="400" w:lineRule="exact"/>
              <w:ind w:firstLine="480" w:firstLineChars="200"/>
              <w:jc w:val="left"/>
              <w:rPr>
                <w:rFonts w:eastAsia="仿宋"/>
                <w:kern w:val="0"/>
                <w:sz w:val="24"/>
              </w:rPr>
            </w:pPr>
            <w:r>
              <w:rPr>
                <w:rFonts w:eastAsia="仿宋"/>
                <w:kern w:val="0"/>
                <w:sz w:val="24"/>
              </w:rPr>
              <w:t>4.设计方案</w:t>
            </w:r>
            <w:r>
              <w:rPr>
                <w:rFonts w:hint="eastAsia" w:eastAsia="仿宋"/>
                <w:kern w:val="0"/>
                <w:sz w:val="24"/>
              </w:rPr>
              <w:t>需要</w:t>
            </w:r>
            <w:r>
              <w:rPr>
                <w:rFonts w:eastAsia="仿宋"/>
                <w:kern w:val="0"/>
                <w:sz w:val="24"/>
                <w:lang w:eastAsia="zh-Hans"/>
              </w:rPr>
              <w:t>给出具体的设计方案或</w:t>
            </w:r>
            <w:r>
              <w:rPr>
                <w:rFonts w:eastAsia="仿宋"/>
                <w:kern w:val="0"/>
                <w:sz w:val="24"/>
              </w:rPr>
              <w:t>用例</w:t>
            </w:r>
            <w:r>
              <w:rPr>
                <w:rFonts w:eastAsia="仿宋"/>
                <w:kern w:val="0"/>
                <w:sz w:val="24"/>
                <w:lang w:eastAsia="zh-Hans"/>
              </w:rPr>
              <w:t>图，并阐述设计思路和用户体验方式；</w:t>
            </w:r>
          </w:p>
          <w:p>
            <w:pPr>
              <w:widowControl/>
              <w:adjustRightInd w:val="0"/>
              <w:spacing w:line="400" w:lineRule="exact"/>
              <w:ind w:firstLine="480" w:firstLineChars="200"/>
              <w:jc w:val="left"/>
              <w:rPr>
                <w:rFonts w:eastAsia="仿宋"/>
                <w:kern w:val="0"/>
                <w:sz w:val="24"/>
              </w:rPr>
            </w:pPr>
            <w:r>
              <w:rPr>
                <w:rFonts w:eastAsia="仿宋"/>
                <w:kern w:val="0"/>
                <w:sz w:val="24"/>
              </w:rPr>
              <w:t>5.设计工具</w:t>
            </w:r>
            <w:r>
              <w:rPr>
                <w:rFonts w:eastAsia="仿宋"/>
                <w:kern w:val="0"/>
                <w:sz w:val="24"/>
                <w:lang w:eastAsia="zh-Hans"/>
              </w:rPr>
              <w:t>可使用包括但不限于：</w:t>
            </w:r>
            <w:r>
              <w:rPr>
                <w:rFonts w:eastAsia="仿宋"/>
                <w:kern w:val="0"/>
                <w:sz w:val="24"/>
              </w:rPr>
              <w:t>CG</w:t>
            </w:r>
            <w:r>
              <w:rPr>
                <w:rFonts w:eastAsia="仿宋"/>
                <w:kern w:val="0"/>
                <w:sz w:val="24"/>
                <w:lang w:eastAsia="zh-Hans"/>
              </w:rPr>
              <w:t>软件，3</w:t>
            </w:r>
            <w:r>
              <w:rPr>
                <w:rFonts w:eastAsia="仿宋"/>
                <w:kern w:val="0"/>
                <w:sz w:val="24"/>
              </w:rPr>
              <w:t>D</w:t>
            </w:r>
            <w:r>
              <w:rPr>
                <w:rFonts w:eastAsia="仿宋"/>
                <w:kern w:val="0"/>
                <w:sz w:val="24"/>
                <w:lang w:eastAsia="zh-Hans"/>
              </w:rPr>
              <w:t>引擎，可视化编程软件或视频短片等，配合展示设计成果。</w:t>
            </w:r>
          </w:p>
          <w:p>
            <w:pPr>
              <w:widowControl/>
              <w:adjustRightInd w:val="0"/>
              <w:spacing w:line="400" w:lineRule="exact"/>
              <w:ind w:firstLine="480" w:firstLineChars="200"/>
              <w:jc w:val="left"/>
              <w:rPr>
                <w:rFonts w:eastAsia="仿宋"/>
                <w:kern w:val="0"/>
                <w:sz w:val="24"/>
              </w:rPr>
            </w:pPr>
            <w:r>
              <w:rPr>
                <w:rFonts w:eastAsia="仿宋"/>
                <w:kern w:val="0"/>
                <w:sz w:val="24"/>
              </w:rPr>
              <w:t>最终作品以PPT的方式汇总呈现。</w:t>
            </w:r>
          </w:p>
        </w:tc>
      </w:tr>
    </w:tbl>
    <w:p>
      <w:pPr>
        <w:widowControl/>
        <w:tabs>
          <w:tab w:val="left" w:pos="8640"/>
        </w:tabs>
        <w:adjustRightInd w:val="0"/>
        <w:snapToGrid w:val="0"/>
        <w:spacing w:line="440" w:lineRule="exact"/>
        <w:rPr>
          <w:rFonts w:eastAsia="方正黑体简体"/>
          <w:bCs/>
          <w:spacing w:val="6"/>
          <w:kern w:val="0"/>
          <w:sz w:val="32"/>
          <w:szCs w:val="32"/>
          <w:lang w:val="en-GB"/>
        </w:rPr>
      </w:pPr>
    </w:p>
    <w:p>
      <w:pPr>
        <w:widowControl/>
        <w:tabs>
          <w:tab w:val="left" w:pos="8640"/>
        </w:tabs>
        <w:adjustRightInd w:val="0"/>
        <w:snapToGrid w:val="0"/>
        <w:spacing w:line="440" w:lineRule="exact"/>
        <w:rPr>
          <w:rFonts w:eastAsia="黑体"/>
          <w:bCs/>
          <w:spacing w:val="6"/>
          <w:kern w:val="0"/>
          <w:sz w:val="32"/>
          <w:szCs w:val="32"/>
          <w:lang w:val="en-GB"/>
        </w:rPr>
      </w:pPr>
    </w:p>
    <w:p>
      <w:pPr>
        <w:widowControl/>
        <w:tabs>
          <w:tab w:val="left" w:pos="8640"/>
        </w:tabs>
        <w:adjustRightInd w:val="0"/>
        <w:snapToGrid w:val="0"/>
        <w:spacing w:line="440" w:lineRule="exact"/>
        <w:rPr>
          <w:rFonts w:eastAsia="黑体"/>
          <w:bCs/>
          <w:spacing w:val="6"/>
          <w:kern w:val="0"/>
          <w:sz w:val="32"/>
          <w:szCs w:val="32"/>
          <w:lang w:val="en-GB"/>
        </w:rPr>
      </w:pPr>
    </w:p>
    <w:p>
      <w:pPr>
        <w:widowControl/>
        <w:tabs>
          <w:tab w:val="left" w:pos="8640"/>
        </w:tabs>
        <w:adjustRightInd w:val="0"/>
        <w:snapToGrid w:val="0"/>
        <w:spacing w:line="440" w:lineRule="exact"/>
        <w:rPr>
          <w:rFonts w:eastAsia="黑体"/>
          <w:bCs/>
          <w:spacing w:val="6"/>
          <w:kern w:val="0"/>
          <w:sz w:val="32"/>
          <w:szCs w:val="32"/>
          <w:lang w:val="en-GB"/>
        </w:rPr>
      </w:pPr>
    </w:p>
    <w:p>
      <w:pPr>
        <w:widowControl/>
        <w:tabs>
          <w:tab w:val="left" w:pos="8640"/>
        </w:tabs>
        <w:adjustRightInd w:val="0"/>
        <w:snapToGrid w:val="0"/>
        <w:spacing w:line="440" w:lineRule="exact"/>
        <w:rPr>
          <w:rFonts w:eastAsia="黑体"/>
          <w:bCs/>
          <w:spacing w:val="6"/>
          <w:kern w:val="0"/>
          <w:sz w:val="32"/>
          <w:szCs w:val="32"/>
          <w:lang w:val="en-GB"/>
        </w:rPr>
      </w:pPr>
    </w:p>
    <w:p>
      <w:pPr>
        <w:widowControl/>
        <w:tabs>
          <w:tab w:val="left" w:pos="8640"/>
        </w:tabs>
        <w:adjustRightInd w:val="0"/>
        <w:snapToGrid w:val="0"/>
        <w:spacing w:line="440" w:lineRule="exact"/>
        <w:rPr>
          <w:rFonts w:eastAsia="黑体"/>
          <w:bCs/>
          <w:spacing w:val="6"/>
          <w:w w:val="90"/>
          <w:kern w:val="0"/>
          <w:sz w:val="24"/>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6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指导措施</w:t>
            </w:r>
          </w:p>
        </w:tc>
        <w:tc>
          <w:tcPr>
            <w:tcW w:w="668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1.可为参赛团队提供极狐汽车智能座舱实车体验讲解，以及创意方案指导；</w:t>
            </w:r>
          </w:p>
          <w:p>
            <w:pPr>
              <w:widowControl/>
              <w:adjustRightInd w:val="0"/>
              <w:spacing w:line="400" w:lineRule="exact"/>
              <w:ind w:firstLine="480" w:firstLineChars="200"/>
              <w:jc w:val="left"/>
              <w:rPr>
                <w:rFonts w:eastAsia="仿宋"/>
                <w:kern w:val="0"/>
                <w:sz w:val="24"/>
              </w:rPr>
            </w:pPr>
            <w:r>
              <w:rPr>
                <w:rFonts w:eastAsia="仿宋"/>
                <w:kern w:val="0"/>
                <w:sz w:val="24"/>
              </w:rPr>
              <w:t>2.可为参赛团队成员提供线上答疑解惑。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6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奖励措施</w:t>
            </w:r>
          </w:p>
        </w:tc>
        <w:tc>
          <w:tcPr>
            <w:tcW w:w="668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1.获奖成员可优先获得在校期间实习机会；</w:t>
            </w:r>
          </w:p>
          <w:p>
            <w:pPr>
              <w:widowControl/>
              <w:adjustRightInd w:val="0"/>
              <w:spacing w:line="400" w:lineRule="exact"/>
              <w:ind w:firstLine="480" w:firstLineChars="200"/>
              <w:jc w:val="left"/>
              <w:rPr>
                <w:rFonts w:eastAsia="仿宋"/>
                <w:kern w:val="0"/>
                <w:sz w:val="24"/>
              </w:rPr>
            </w:pPr>
            <w:r>
              <w:rPr>
                <w:rFonts w:eastAsia="仿宋"/>
                <w:kern w:val="0"/>
                <w:sz w:val="24"/>
              </w:rPr>
              <w:t>2.获奖成员毕业后可优先获得就业机会；</w:t>
            </w:r>
          </w:p>
          <w:p>
            <w:pPr>
              <w:widowControl/>
              <w:adjustRightInd w:val="0"/>
              <w:spacing w:line="400" w:lineRule="exact"/>
              <w:ind w:firstLine="480" w:firstLineChars="200"/>
              <w:jc w:val="left"/>
              <w:rPr>
                <w:rFonts w:eastAsia="仿宋"/>
                <w:kern w:val="0"/>
                <w:sz w:val="24"/>
              </w:rPr>
            </w:pPr>
            <w:r>
              <w:rPr>
                <w:rFonts w:eastAsia="仿宋"/>
                <w:kern w:val="0"/>
                <w:sz w:val="24"/>
              </w:rPr>
              <w:t>3.获奖成员可直接获得2023年下半年由北汽集团组织的</w:t>
            </w:r>
            <w:r>
              <w:rPr>
                <w:rFonts w:hint="eastAsia" w:eastAsia="仿宋"/>
                <w:kern w:val="0"/>
                <w:sz w:val="24"/>
              </w:rPr>
              <w:t>“</w:t>
            </w:r>
            <w:r>
              <w:rPr>
                <w:rFonts w:eastAsia="仿宋"/>
                <w:kern w:val="0"/>
                <w:sz w:val="24"/>
              </w:rPr>
              <w:t>全国大学生新能源汽车设计大赛</w:t>
            </w:r>
            <w:r>
              <w:rPr>
                <w:rFonts w:hint="eastAsia" w:eastAsia="仿宋"/>
                <w:kern w:val="0"/>
                <w:sz w:val="24"/>
              </w:rPr>
              <w:t>”</w:t>
            </w:r>
            <w:r>
              <w:rPr>
                <w:rFonts w:eastAsia="仿宋"/>
                <w:kern w:val="0"/>
                <w:sz w:val="24"/>
              </w:rPr>
              <w:t>的参赛资格，并依据比赛结果获得大赛相应奖励。</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eastAsia="方正小标宋简体"/>
          <w:bCs/>
          <w:kern w:val="0"/>
          <w:sz w:val="44"/>
          <w:szCs w:val="44"/>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-05</w:t>
      </w: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1"/>
        <w:gridCol w:w="144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shd w:val="clear" w:color="auto" w:fill="FFFFFF"/>
              <w:adjustRightInd w:val="0"/>
              <w:snapToGrid w:val="0"/>
              <w:spacing w:after="60" w:line="330" w:lineRule="atLeast"/>
              <w:jc w:val="center"/>
              <w:outlineLvl w:val="2"/>
              <w:rPr>
                <w:rFonts w:eastAsia="仿宋"/>
                <w:sz w:val="24"/>
                <w:lang w:val="en-GB"/>
              </w:rPr>
            </w:pPr>
            <w:r>
              <w:fldChar w:fldCharType="begin"/>
            </w:r>
            <w:r>
              <w:instrText xml:space="preserve"> HYPERLINK "https://aiqicha.baidu.com/detail/compinfo?pid=65181646523693&amp;rq=ef&amp;pd=ee&amp;from=ps&amp;query=%E5%8C%97%E4%BA%AC%E6%98%9F%E6%B2%B3%E5%8A%A8%E5%8A%9B%E8%88%AA%E5%A4%A9%E7%A7%91%E6%8A%80%E8%82%A1%E4%BB%BD%E6%9C%89%E9%99%90%E5%85%AC%E5%8F%B8" \t "https://www.baidu.com/_blank" </w:instrText>
            </w:r>
            <w:r>
              <w:fldChar w:fldCharType="separate"/>
            </w:r>
            <w:r>
              <w:rPr>
                <w:rFonts w:eastAsia="仿宋"/>
                <w:sz w:val="24"/>
                <w:lang w:val="en-GB"/>
              </w:rPr>
              <w:t>北京星河动力航天科技股份有限公司</w:t>
            </w:r>
            <w:r>
              <w:rPr>
                <w:rFonts w:eastAsia="仿宋"/>
                <w:sz w:val="24"/>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rPr>
              <w:t>北京市亦庄开发区中航技广场4层&amp;9层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星河动力航天是国内领先的商业航天技术公司，是国家级专精特新小巨人企业、国家高新技 术企业和中关村金种子企业。</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公司主要为国内外航天领域客户提供高效、可靠的航天发射服务，先进的航天装备制造，高性能产品配套，和广泛的工程、技术、安全、系统集成等领域系统化解决方案。</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公司核心产品包括</w:t>
            </w:r>
            <w:r>
              <w:rPr>
                <w:rFonts w:hint="eastAsia" w:eastAsia="仿宋"/>
                <w:kern w:val="0"/>
                <w:sz w:val="24"/>
              </w:rPr>
              <w:t>“</w:t>
            </w:r>
            <w:r>
              <w:rPr>
                <w:rFonts w:eastAsia="仿宋"/>
                <w:kern w:val="0"/>
                <w:sz w:val="24"/>
              </w:rPr>
              <w:t>智神星</w:t>
            </w:r>
            <w:r>
              <w:rPr>
                <w:rFonts w:hint="eastAsia" w:eastAsia="仿宋"/>
                <w:kern w:val="0"/>
                <w:sz w:val="24"/>
              </w:rPr>
              <w:t>”</w:t>
            </w:r>
            <w:r>
              <w:rPr>
                <w:rFonts w:eastAsia="仿宋"/>
                <w:kern w:val="0"/>
                <w:sz w:val="24"/>
              </w:rPr>
              <w:t>系列中型重复使用液体运载火箭、</w:t>
            </w:r>
            <w:r>
              <w:rPr>
                <w:rFonts w:hint="eastAsia" w:eastAsia="仿宋"/>
                <w:kern w:val="0"/>
                <w:sz w:val="24"/>
              </w:rPr>
              <w:t>“</w:t>
            </w:r>
            <w:r>
              <w:rPr>
                <w:rFonts w:eastAsia="仿宋"/>
                <w:kern w:val="0"/>
                <w:sz w:val="24"/>
              </w:rPr>
              <w:t>谷神星</w:t>
            </w:r>
            <w:r>
              <w:rPr>
                <w:rFonts w:hint="eastAsia" w:eastAsia="仿宋"/>
                <w:kern w:val="0"/>
                <w:sz w:val="24"/>
              </w:rPr>
              <w:t>”</w:t>
            </w:r>
            <w:r>
              <w:rPr>
                <w:rFonts w:eastAsia="仿宋"/>
                <w:kern w:val="0"/>
                <w:sz w:val="24"/>
              </w:rPr>
              <w:t>系列轻小型固体运载 火箭等。</w:t>
            </w:r>
          </w:p>
          <w:p>
            <w:pPr>
              <w:widowControl/>
              <w:adjustRightInd w:val="0"/>
              <w:snapToGrid w:val="0"/>
              <w:spacing w:line="400" w:lineRule="exact"/>
              <w:ind w:firstLine="480" w:firstLineChars="200"/>
              <w:jc w:val="left"/>
              <w:rPr>
                <w:bCs/>
                <w:spacing w:val="6"/>
                <w:kern w:val="0"/>
                <w:sz w:val="24"/>
                <w:szCs w:val="28"/>
                <w:lang w:val="en-GB"/>
              </w:rPr>
            </w:pPr>
            <w:r>
              <w:rPr>
                <w:rFonts w:eastAsia="仿宋"/>
                <w:kern w:val="0"/>
                <w:sz w:val="24"/>
              </w:rPr>
              <w:t>在航天发射业务方面，公司创造了国内首家实现连续多次发射成功、首家将商业组网卫星送入 500km 太阳同步轨道、首家掌握一箭多星发射能力等多个行业第一，将持续为国内外蓬勃发展的航天发射市场提供高可靠、高性价比的航天发射服务。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联系人</w:t>
            </w:r>
          </w:p>
        </w:tc>
        <w:tc>
          <w:tcPr>
            <w:tcW w:w="2701" w:type="dxa"/>
            <w:vAlign w:val="center"/>
          </w:tcPr>
          <w:p>
            <w:pPr>
              <w:widowControl/>
              <w:adjustRightInd w:val="0"/>
              <w:snapToGrid w:val="0"/>
              <w:jc w:val="center"/>
              <w:rPr>
                <w:rFonts w:eastAsia="方正仿宋简体"/>
                <w:bCs/>
                <w:spacing w:val="6"/>
                <w:kern w:val="0"/>
                <w:sz w:val="24"/>
                <w:szCs w:val="28"/>
              </w:rPr>
            </w:pPr>
            <w:r>
              <w:rPr>
                <w:rFonts w:eastAsia="仿宋"/>
                <w:kern w:val="0"/>
                <w:sz w:val="24"/>
              </w:rPr>
              <w:t>刘老师</w:t>
            </w:r>
          </w:p>
        </w:tc>
        <w:tc>
          <w:tcPr>
            <w:tcW w:w="1448" w:type="dxa"/>
            <w:vAlign w:val="center"/>
          </w:tcPr>
          <w:p>
            <w:pPr>
              <w:widowControl/>
              <w:adjustRightInd w:val="0"/>
              <w:snapToGrid w:val="0"/>
              <w:jc w:val="center"/>
              <w:rPr>
                <w:rFonts w:eastAsia="方正楷体简体"/>
                <w:kern w:val="0"/>
                <w:sz w:val="28"/>
                <w:szCs w:val="32"/>
                <w:lang w:val="en-GB"/>
              </w:rPr>
            </w:pPr>
            <w:r>
              <w:rPr>
                <w:rFonts w:eastAsia="楷体"/>
                <w:kern w:val="0"/>
                <w:sz w:val="28"/>
                <w:szCs w:val="32"/>
              </w:rPr>
              <w:t>联系方式</w:t>
            </w:r>
          </w:p>
        </w:tc>
        <w:tc>
          <w:tcPr>
            <w:tcW w:w="2783" w:type="dxa"/>
            <w:vAlign w:val="center"/>
          </w:tcPr>
          <w:p>
            <w:pPr>
              <w:widowControl/>
              <w:adjustRightInd w:val="0"/>
              <w:snapToGrid w:val="0"/>
              <w:jc w:val="center"/>
              <w:rPr>
                <w:rFonts w:eastAsia="方正仿宋简体"/>
                <w:kern w:val="0"/>
                <w:sz w:val="24"/>
              </w:rPr>
            </w:pPr>
            <w:r>
              <w:rPr>
                <w:rFonts w:eastAsia="方正仿宋简体"/>
                <w:kern w:val="0"/>
                <w:sz w:val="24"/>
              </w:rPr>
              <w:t>15040365671</w:t>
            </w:r>
          </w:p>
        </w:tc>
      </w:tr>
    </w:tbl>
    <w:p>
      <w:pPr>
        <w:widowControl/>
        <w:tabs>
          <w:tab w:val="left" w:pos="8640"/>
        </w:tabs>
        <w:adjustRightInd w:val="0"/>
        <w:snapToGrid w:val="0"/>
        <w:spacing w:line="560" w:lineRule="exac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题目</w:t>
            </w:r>
          </w:p>
        </w:tc>
        <w:tc>
          <w:tcPr>
            <w:tcW w:w="6669" w:type="dxa"/>
            <w:tcBorders>
              <w:tl2br w:val="nil"/>
              <w:tr2bl w:val="nil"/>
            </w:tcBorders>
            <w:shd w:val="clear" w:color="auto" w:fill="FFFFFF"/>
            <w:vAlign w:val="center"/>
          </w:tcPr>
          <w:p>
            <w:pPr>
              <w:widowControl/>
              <w:adjustRightInd w:val="0"/>
              <w:snapToGrid w:val="0"/>
              <w:jc w:val="center"/>
              <w:rPr>
                <w:rFonts w:eastAsia="仿宋"/>
                <w:kern w:val="0"/>
                <w:sz w:val="24"/>
              </w:rPr>
            </w:pPr>
            <w:r>
              <w:rPr>
                <w:rFonts w:eastAsia="仿宋"/>
                <w:kern w:val="0"/>
                <w:sz w:val="24"/>
              </w:rPr>
              <w:t>完全重复使用航班化航天运输系统概念设计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行业领域</w:t>
            </w:r>
          </w:p>
        </w:tc>
        <w:tc>
          <w:tcPr>
            <w:tcW w:w="6669" w:type="dxa"/>
            <w:tcBorders>
              <w:tl2br w:val="nil"/>
              <w:tr2bl w:val="nil"/>
            </w:tcBorders>
            <w:shd w:val="clear" w:color="auto" w:fill="FFFFFF"/>
            <w:vAlign w:val="center"/>
          </w:tcPr>
          <w:p>
            <w:pPr>
              <w:widowControl/>
              <w:adjustRightInd w:val="0"/>
              <w:snapToGrid w:val="0"/>
              <w:jc w:val="center"/>
              <w:rPr>
                <w:rFonts w:eastAsia="仿宋"/>
                <w:kern w:val="0"/>
                <w:sz w:val="24"/>
              </w:rPr>
            </w:pPr>
            <w:r>
              <w:rPr>
                <w:rFonts w:eastAsia="仿宋"/>
                <w:kern w:val="0"/>
                <w:sz w:val="24"/>
              </w:rPr>
              <w:t>商业航天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近日，北京市人民政府办公厅印发《北京市加快商业航天创新发展行动方案（2024</w:t>
            </w:r>
            <w:r>
              <w:rPr>
                <w:rFonts w:hint="eastAsia" w:eastAsia="仿宋"/>
                <w:kern w:val="0"/>
                <w:sz w:val="24"/>
              </w:rPr>
              <w:t>—</w:t>
            </w:r>
            <w:r>
              <w:rPr>
                <w:rFonts w:eastAsia="仿宋"/>
                <w:kern w:val="0"/>
                <w:sz w:val="24"/>
              </w:rPr>
              <w:t>2028年）》（以下简称《行动方案》），释放出北京发展商业航天战略性新兴产业的强烈信号。</w:t>
            </w:r>
          </w:p>
          <w:p>
            <w:pPr>
              <w:widowControl/>
              <w:adjustRightInd w:val="0"/>
              <w:snapToGrid w:val="0"/>
              <w:spacing w:line="400" w:lineRule="exact"/>
              <w:ind w:firstLine="480" w:firstLineChars="200"/>
              <w:jc w:val="left"/>
              <w:rPr>
                <w:rFonts w:eastAsia="仿宋"/>
                <w:kern w:val="0"/>
                <w:sz w:val="24"/>
              </w:rPr>
            </w:pPr>
            <w:r>
              <w:rPr>
                <w:rFonts w:eastAsia="仿宋"/>
                <w:kern w:val="0"/>
                <w:sz w:val="24"/>
              </w:rPr>
              <w:t>低成本、高密度进入空间是人类规模化利用空间的必要条件。运载火箭是目前国内外进入空间的主要载运工具，相对航空、航海、铁路、公路运输</w:t>
            </w:r>
            <w:r>
              <w:rPr>
                <w:rFonts w:hint="eastAsia" w:eastAsia="仿宋"/>
                <w:kern w:val="0"/>
                <w:sz w:val="24"/>
              </w:rPr>
              <w:t>等其他</w:t>
            </w:r>
            <w:r>
              <w:rPr>
                <w:rFonts w:eastAsia="仿宋"/>
                <w:kern w:val="0"/>
                <w:sz w:val="24"/>
              </w:rPr>
              <w:t>载运工具，存在发射成本高、发射准备时间长等不足，极大制约了规模化进入空间与利用空间。</w:t>
            </w:r>
          </w:p>
          <w:p>
            <w:pPr>
              <w:widowControl/>
              <w:adjustRightInd w:val="0"/>
              <w:snapToGrid w:val="0"/>
              <w:spacing w:line="400" w:lineRule="exact"/>
              <w:ind w:firstLine="480" w:firstLineChars="200"/>
              <w:jc w:val="left"/>
              <w:rPr>
                <w:rFonts w:eastAsia="仿宋"/>
                <w:kern w:val="0"/>
                <w:sz w:val="24"/>
              </w:rPr>
            </w:pPr>
            <w:r>
              <w:rPr>
                <w:rFonts w:eastAsia="仿宋"/>
                <w:kern w:val="0"/>
                <w:sz w:val="24"/>
              </w:rPr>
              <w:t>Falcon-9运载火箭的实践表明，一子级垂直回收重复使用是低成本进入空间的有效技术途径，但该技术范式在降低运载能力损失、提高发射频次、完全重复使用等方面仍有挖潜空间。</w:t>
            </w:r>
          </w:p>
          <w:p>
            <w:pPr>
              <w:widowControl/>
              <w:adjustRightInd w:val="0"/>
              <w:snapToGrid w:val="0"/>
              <w:spacing w:line="400" w:lineRule="exact"/>
              <w:ind w:firstLine="480" w:firstLineChars="200"/>
              <w:jc w:val="left"/>
              <w:rPr>
                <w:rFonts w:eastAsia="仿宋"/>
                <w:kern w:val="0"/>
                <w:sz w:val="24"/>
              </w:rPr>
            </w:pPr>
            <w:r>
              <w:rPr>
                <w:rFonts w:eastAsia="仿宋"/>
                <w:kern w:val="0"/>
                <w:sz w:val="24"/>
              </w:rPr>
              <w:t>针对运载火箭存在的上述不足，对标国际领先水平，开展完全重复使用航班化航天运输系统概念设计，论证提出具有原创性、原理可行的完全重复使用航班化航天运输系统总体方案，分析提炼关键技术与解决途径，实现航天运输系统完全重复使用与航班化发射。</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完全重复使用航班化航天运输系统应满足以下技术指标：</w:t>
            </w:r>
          </w:p>
          <w:p>
            <w:pPr>
              <w:widowControl/>
              <w:adjustRightInd w:val="0"/>
              <w:snapToGrid w:val="0"/>
              <w:spacing w:line="400" w:lineRule="exact"/>
              <w:ind w:firstLine="480" w:firstLineChars="200"/>
              <w:jc w:val="left"/>
              <w:rPr>
                <w:rFonts w:eastAsia="仿宋"/>
                <w:kern w:val="0"/>
                <w:sz w:val="24"/>
              </w:rPr>
            </w:pPr>
            <w:r>
              <w:rPr>
                <w:rFonts w:eastAsia="仿宋"/>
                <w:kern w:val="0"/>
                <w:sz w:val="24"/>
              </w:rPr>
              <w:t>1.运载能力不低于该系统一次性使用的50%；</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2.仅采用一子级回收重复使用飞行方案，运载能力不低于该系统一次性使用的85%；</w:t>
            </w:r>
          </w:p>
          <w:p>
            <w:pPr>
              <w:widowControl/>
              <w:adjustRightInd w:val="0"/>
              <w:snapToGrid w:val="0"/>
              <w:spacing w:line="400" w:lineRule="exact"/>
              <w:ind w:firstLine="480" w:firstLineChars="200"/>
              <w:jc w:val="left"/>
              <w:rPr>
                <w:rFonts w:eastAsia="方正仿宋简体"/>
                <w:bCs/>
                <w:spacing w:val="6"/>
                <w:kern w:val="0"/>
                <w:sz w:val="24"/>
                <w:szCs w:val="28"/>
              </w:rPr>
            </w:pPr>
            <w:r>
              <w:rPr>
                <w:rFonts w:eastAsia="仿宋"/>
                <w:kern w:val="0"/>
                <w:sz w:val="24"/>
              </w:rPr>
              <w:t>3.发射准备时间不超过1天。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预期取得的</w:t>
            </w:r>
          </w:p>
          <w:p>
            <w:pPr>
              <w:widowControl/>
              <w:adjustRightInd w:val="0"/>
              <w:spacing w:line="560" w:lineRule="exact"/>
              <w:jc w:val="center"/>
              <w:rPr>
                <w:rFonts w:eastAsia="楷体"/>
                <w:kern w:val="0"/>
                <w:sz w:val="28"/>
                <w:szCs w:val="32"/>
                <w:lang w:val="en-GB"/>
              </w:rPr>
            </w:pPr>
            <w:r>
              <w:rPr>
                <w:rFonts w:eastAsia="楷体"/>
                <w:kern w:val="0"/>
                <w:sz w:val="28"/>
                <w:szCs w:val="32"/>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1.降低商业航天火箭发射成本、提高发射密度；</w:t>
            </w:r>
          </w:p>
          <w:p>
            <w:pPr>
              <w:widowControl/>
              <w:adjustRightInd w:val="0"/>
              <w:snapToGrid w:val="0"/>
              <w:spacing w:line="400" w:lineRule="exact"/>
              <w:ind w:firstLine="480" w:firstLineChars="200"/>
              <w:jc w:val="left"/>
              <w:rPr>
                <w:rFonts w:eastAsia="方正仿宋简体"/>
                <w:kern w:val="0"/>
                <w:sz w:val="28"/>
                <w:szCs w:val="28"/>
                <w:lang w:val="en-GB"/>
              </w:rPr>
            </w:pPr>
            <w:r>
              <w:rPr>
                <w:rFonts w:eastAsia="仿宋"/>
                <w:kern w:val="0"/>
                <w:sz w:val="24"/>
              </w:rPr>
              <w:t>2.培育新时代大学生投身航天、建功航天的志向与素养。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1.提交完全重复使用航班化航天运输系统总体方案报告，明确航天运输系统完全重复使用技术途径，分析技术可行性与工程可行性，回答相关技术指标；</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2.完成完全重复使用航班化航天运输系统概念设计，提交总体方案报告；</w:t>
            </w:r>
          </w:p>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3.通过出题单位组织的总体方案报告评审。</w:t>
            </w:r>
          </w:p>
        </w:tc>
      </w:tr>
    </w:tbl>
    <w:p>
      <w:pPr>
        <w:widowControl/>
        <w:tabs>
          <w:tab w:val="left" w:pos="8640"/>
        </w:tabs>
        <w:adjustRightInd w:val="0"/>
        <w:snapToGrid w:val="0"/>
        <w:spacing w:line="440" w:lineRule="exac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1.出题单位为参赛团队提供商业航天火箭相关专业系统培训，组织有资深专家和一线科研人员为参赛团队给予一定技术指导；</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2.出题单位组织参赛团队参观公司开展社会实践调研；</w:t>
            </w:r>
          </w:p>
          <w:p>
            <w:pPr>
              <w:widowControl/>
              <w:adjustRightInd w:val="0"/>
              <w:snapToGrid w:val="0"/>
              <w:spacing w:line="400" w:lineRule="exact"/>
              <w:ind w:firstLine="480" w:firstLineChars="200"/>
              <w:jc w:val="left"/>
              <w:rPr>
                <w:rFonts w:eastAsia="仿宋"/>
                <w:kern w:val="0"/>
                <w:sz w:val="24"/>
              </w:rPr>
            </w:pPr>
            <w:r>
              <w:rPr>
                <w:rFonts w:eastAsia="仿宋"/>
                <w:kern w:val="0"/>
                <w:sz w:val="24"/>
              </w:rPr>
              <w:t>3.出题单位可根据参赛团队需求提供一定不涉及国家秘密和商业机密的相关研究材料；</w:t>
            </w:r>
          </w:p>
          <w:p>
            <w:pPr>
              <w:widowControl/>
              <w:adjustRightInd w:val="0"/>
              <w:snapToGrid w:val="0"/>
              <w:spacing w:line="400" w:lineRule="exact"/>
              <w:ind w:firstLine="480" w:firstLineChars="200"/>
              <w:jc w:val="left"/>
              <w:rPr>
                <w:rFonts w:eastAsia="方正仿宋简体"/>
                <w:bCs/>
                <w:spacing w:val="6"/>
                <w:kern w:val="0"/>
                <w:sz w:val="24"/>
                <w:szCs w:val="28"/>
                <w:lang w:val="en-GB"/>
              </w:rPr>
            </w:pPr>
            <w:r>
              <w:rPr>
                <w:rFonts w:eastAsia="仿宋"/>
                <w:kern w:val="0"/>
                <w:sz w:val="24"/>
              </w:rPr>
              <w:t>4.出题单位可与参赛高校指导教师等联合组建课题组，共同指导参赛学生完成参赛任务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1.为获奖团队提供商业航天纪念品；</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2.对于获奖团队中，有志投身商业航天的学生，开设企业人才引进绿色通道；</w:t>
            </w:r>
          </w:p>
          <w:p>
            <w:pPr>
              <w:widowControl/>
              <w:adjustRightInd w:val="0"/>
              <w:snapToGrid w:val="0"/>
              <w:spacing w:line="400" w:lineRule="exact"/>
              <w:ind w:firstLine="480" w:firstLineChars="200"/>
              <w:jc w:val="left"/>
              <w:rPr>
                <w:rFonts w:eastAsia="仿宋"/>
                <w:kern w:val="0"/>
                <w:sz w:val="24"/>
              </w:rPr>
            </w:pPr>
            <w:r>
              <w:rPr>
                <w:rFonts w:eastAsia="仿宋"/>
                <w:kern w:val="0"/>
                <w:sz w:val="24"/>
              </w:rPr>
              <w:t>3.为金奖团队提供商业火箭发射现场观摩的机会；</w:t>
            </w:r>
          </w:p>
          <w:p>
            <w:pPr>
              <w:widowControl/>
              <w:adjustRightInd w:val="0"/>
              <w:snapToGrid w:val="0"/>
              <w:spacing w:line="400" w:lineRule="exact"/>
              <w:ind w:firstLine="480" w:firstLineChars="200"/>
              <w:jc w:val="left"/>
              <w:rPr>
                <w:rFonts w:eastAsia="仿宋"/>
                <w:kern w:val="0"/>
                <w:sz w:val="24"/>
              </w:rPr>
            </w:pPr>
            <w:r>
              <w:rPr>
                <w:rFonts w:eastAsia="仿宋"/>
                <w:kern w:val="0"/>
                <w:sz w:val="24"/>
              </w:rPr>
              <w:t>4.为有志于在商业航天领域开展创业的金奖团队提供商业投资、政府产业基金的投融资渠道支持；</w:t>
            </w:r>
          </w:p>
          <w:p>
            <w:pPr>
              <w:widowControl/>
              <w:adjustRightInd w:val="0"/>
              <w:snapToGrid w:val="0"/>
              <w:spacing w:line="400" w:lineRule="exact"/>
              <w:ind w:firstLine="480" w:firstLineChars="200"/>
              <w:jc w:val="left"/>
              <w:rPr>
                <w:rFonts w:eastAsia="仿宋"/>
                <w:kern w:val="0"/>
                <w:sz w:val="24"/>
              </w:rPr>
            </w:pPr>
            <w:r>
              <w:rPr>
                <w:rFonts w:eastAsia="仿宋"/>
                <w:kern w:val="0"/>
                <w:sz w:val="24"/>
              </w:rPr>
              <w:t>5.与擂主团队签署校企合作框架，深入推动产教融合，开展商业航天领域技术与产业合作。</w:t>
            </w:r>
          </w:p>
          <w:p>
            <w:pPr>
              <w:widowControl/>
              <w:adjustRightInd w:val="0"/>
              <w:snapToGrid w:val="0"/>
              <w:ind w:firstLine="504" w:firstLineChars="200"/>
              <w:rPr>
                <w:rFonts w:eastAsia="方正仿宋简体"/>
                <w:bCs/>
                <w:spacing w:val="6"/>
                <w:kern w:val="0"/>
                <w:sz w:val="24"/>
                <w:szCs w:val="28"/>
              </w:rPr>
            </w:pP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-06</w:t>
      </w:r>
    </w:p>
    <w:p>
      <w:pPr>
        <w:widowControl/>
        <w:tabs>
          <w:tab w:val="left" w:pos="8640"/>
        </w:tabs>
        <w:adjustRightInd w:val="0"/>
        <w:snapToGrid w:val="0"/>
        <w:jc w:val="center"/>
        <w:rPr>
          <w:rFonts w:eastAsia="方正黑体简体"/>
          <w:bCs/>
          <w:spacing w:val="6"/>
          <w:kern w:val="0"/>
          <w:szCs w:val="21"/>
          <w:lang w:val="en-GB"/>
        </w:rPr>
      </w:pPr>
    </w:p>
    <w:p>
      <w:pPr>
        <w:widowControl/>
        <w:tabs>
          <w:tab w:val="left" w:pos="8640"/>
        </w:tabs>
        <w:adjustRightInd w:val="0"/>
        <w:snapToGrid w:val="0"/>
        <w:jc w:val="center"/>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81"/>
        <w:gridCol w:w="156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rPr>
              <w:t>深圳市龙岗区坂田华为基地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eastAsia="方正仿宋简体"/>
                <w:bCs/>
                <w:spacing w:val="6"/>
                <w:kern w:val="0"/>
                <w:sz w:val="24"/>
                <w:szCs w:val="28"/>
                <w:lang w:val="en-GB"/>
              </w:rPr>
            </w:pPr>
            <w:r>
              <w:rPr>
                <w:rFonts w:eastAsia="仿宋"/>
                <w:kern w:val="0"/>
                <w:sz w:val="24"/>
              </w:rPr>
              <w:t>华为创立于1987年，是全球领先的ICT（信息与通信）基础设施和智能终端提供商。我们的20.7万员工遍及170多个国家和地区，为全球30多亿人口提供服务。我们致力于把数字世界带入每个人、每个家庭、每个组织，构建万物互联的智能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rPr>
            </w:pPr>
            <w:r>
              <w:rPr>
                <w:rFonts w:eastAsia="楷体"/>
                <w:kern w:val="0"/>
                <w:sz w:val="28"/>
                <w:szCs w:val="32"/>
              </w:rPr>
              <w:t>联系人</w:t>
            </w:r>
          </w:p>
        </w:tc>
        <w:tc>
          <w:tcPr>
            <w:tcW w:w="2581" w:type="dxa"/>
            <w:vAlign w:val="center"/>
          </w:tcPr>
          <w:p>
            <w:pPr>
              <w:widowControl/>
              <w:adjustRightInd w:val="0"/>
              <w:snapToGrid w:val="0"/>
              <w:jc w:val="center"/>
              <w:rPr>
                <w:rFonts w:eastAsia="仿宋"/>
                <w:bCs/>
                <w:spacing w:val="6"/>
                <w:kern w:val="0"/>
                <w:sz w:val="24"/>
                <w:szCs w:val="28"/>
              </w:rPr>
            </w:pPr>
            <w:r>
              <w:rPr>
                <w:rFonts w:eastAsia="仿宋"/>
                <w:kern w:val="0"/>
                <w:sz w:val="24"/>
              </w:rPr>
              <w:t>高老师</w:t>
            </w:r>
          </w:p>
        </w:tc>
        <w:tc>
          <w:tcPr>
            <w:tcW w:w="1568"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方正仿宋简体"/>
                <w:kern w:val="0"/>
                <w:sz w:val="24"/>
              </w:rPr>
            </w:pPr>
            <w:r>
              <w:rPr>
                <w:rFonts w:eastAsia="方正仿宋简体"/>
                <w:bCs/>
                <w:spacing w:val="6"/>
                <w:kern w:val="0"/>
                <w:sz w:val="24"/>
                <w:szCs w:val="28"/>
              </w:rPr>
              <w:t>15618958021</w:t>
            </w:r>
          </w:p>
        </w:tc>
      </w:tr>
    </w:tbl>
    <w:p>
      <w:pPr>
        <w:widowControl/>
        <w:tabs>
          <w:tab w:val="left" w:pos="8640"/>
        </w:tabs>
        <w:adjustRightInd w:val="0"/>
        <w:snapToGrid w:val="0"/>
        <w:spacing w:line="560" w:lineRule="exact"/>
        <w:rPr>
          <w:rFonts w:eastAsia="方正黑体简体"/>
          <w:bCs/>
          <w:spacing w:val="6"/>
          <w:kern w:val="0"/>
          <w:sz w:val="32"/>
          <w:szCs w:val="32"/>
          <w:lang w:val="en-GB"/>
        </w:rPr>
      </w:pPr>
    </w:p>
    <w:p>
      <w:pPr>
        <w:widowControl/>
        <w:tabs>
          <w:tab w:val="left" w:pos="8640"/>
        </w:tabs>
        <w:adjustRightInd w:val="0"/>
        <w:snapToGrid w:val="0"/>
        <w:spacing w:line="560" w:lineRule="exact"/>
        <w:rPr>
          <w:rFonts w:eastAsia="方正黑体简体"/>
          <w:bCs/>
          <w:spacing w:val="6"/>
          <w:kern w:val="0"/>
          <w:sz w:val="32"/>
          <w:szCs w:val="32"/>
          <w:lang w:val="en-GB"/>
        </w:rPr>
      </w:pPr>
      <w:r>
        <w:rPr>
          <w:rFonts w:eastAsia="方正黑体简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鸿蒙原生应用静态代码分析框架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信息领域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pacing w:line="400" w:lineRule="exact"/>
              <w:ind w:firstLine="482" w:firstLineChars="200"/>
              <w:jc w:val="left"/>
              <w:rPr>
                <w:rFonts w:eastAsia="仿宋"/>
                <w:kern w:val="0"/>
                <w:sz w:val="24"/>
              </w:rPr>
            </w:pPr>
            <w:r>
              <w:rPr>
                <w:rFonts w:eastAsia="仿宋"/>
                <w:b/>
                <w:bCs/>
                <w:kern w:val="0"/>
                <w:sz w:val="24"/>
              </w:rPr>
              <w:t>背景：</w:t>
            </w:r>
            <w:r>
              <w:rPr>
                <w:rFonts w:eastAsia="仿宋"/>
                <w:kern w:val="0"/>
                <w:sz w:val="24"/>
              </w:rPr>
              <w:t>2023年8月4日，华为在其开发者大会上宣布HarmonyOS Next计划全面启动。HarmonyOS Next将摒弃Android生态，构筑具有自主知识产权的新型移动操作系统。鸿蒙Next系统将不再直接支持Android应用，而是选择支持全新的基于ArkTS新语言开发的鸿蒙原生应用。</w:t>
            </w:r>
          </w:p>
          <w:p>
            <w:pPr>
              <w:widowControl/>
              <w:adjustRightInd w:val="0"/>
              <w:spacing w:line="400" w:lineRule="exact"/>
              <w:ind w:firstLine="482" w:firstLineChars="200"/>
              <w:jc w:val="left"/>
              <w:rPr>
                <w:rFonts w:eastAsia="仿宋"/>
                <w:kern w:val="0"/>
                <w:sz w:val="24"/>
              </w:rPr>
            </w:pPr>
            <w:r>
              <w:rPr>
                <w:rFonts w:eastAsia="仿宋"/>
                <w:b/>
                <w:bCs/>
                <w:kern w:val="0"/>
                <w:sz w:val="24"/>
              </w:rPr>
              <w:t>需求：</w:t>
            </w:r>
            <w:r>
              <w:rPr>
                <w:rFonts w:eastAsia="仿宋"/>
                <w:kern w:val="0"/>
                <w:sz w:val="24"/>
              </w:rPr>
              <w:t>基于新语言ArkTS的鸿蒙原生应用缺乏自动化代码分析工具支持，面临包括隐私泄露、性能不佳、质量欠缺等隐患。静态分析框架（比如面向Java和安卓的Soot框架）是实现前述系列自动化分析工具的基础。</w:t>
            </w:r>
          </w:p>
          <w:p>
            <w:pPr>
              <w:widowControl/>
              <w:adjustRightInd w:val="0"/>
              <w:spacing w:line="400" w:lineRule="exact"/>
              <w:ind w:firstLine="482" w:firstLineChars="200"/>
              <w:jc w:val="left"/>
              <w:rPr>
                <w:rFonts w:eastAsia="方正仿宋简体"/>
                <w:bCs/>
                <w:spacing w:val="6"/>
                <w:kern w:val="0"/>
                <w:sz w:val="24"/>
                <w:szCs w:val="28"/>
              </w:rPr>
            </w:pPr>
            <w:r>
              <w:rPr>
                <w:rFonts w:eastAsia="仿宋"/>
                <w:b/>
                <w:bCs/>
                <w:kern w:val="0"/>
                <w:sz w:val="24"/>
              </w:rPr>
              <w:t>应用：</w:t>
            </w:r>
            <w:r>
              <w:rPr>
                <w:rFonts w:eastAsia="仿宋"/>
                <w:kern w:val="0"/>
                <w:sz w:val="24"/>
              </w:rPr>
              <w:t>面向原生鸿蒙应用的静态分析框架有诸多应用前景，比如能够支持隐私泄露工具的实现、性能反模式的自动检测、功能缺陷的检测与自动修复等。这些工具一方面能够继承在IDE，在开发态协助开发者快速发现并修复问题，也能集成月Git等代码仓，作为门禁确保高质量代码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方正仿宋简体"/>
                <w:kern w:val="0"/>
                <w:sz w:val="28"/>
                <w:szCs w:val="28"/>
              </w:rPr>
            </w:pPr>
            <w:r>
              <w:rPr>
                <w:rFonts w:eastAsia="仿宋"/>
                <w:kern w:val="0"/>
                <w:sz w:val="24"/>
              </w:rPr>
              <w:t>静态分析框架可用于（包括但不限于）</w:t>
            </w:r>
            <w:r>
              <w:rPr>
                <w:rFonts w:hint="eastAsia" w:eastAsia="仿宋"/>
                <w:kern w:val="0"/>
                <w:sz w:val="24"/>
              </w:rPr>
              <w:t>以下方面</w:t>
            </w:r>
            <w:r>
              <w:rPr>
                <w:rFonts w:eastAsia="仿宋"/>
                <w:kern w:val="0"/>
                <w:sz w:val="24"/>
              </w:rPr>
              <w:t>：（1）集成于IDE，提升鸿蒙原生应用的开发效率和质量；（2）继承于中心仓，作为门禁禁止低质量代码进入应用，并协助完成软件依赖分析及其供应链的管理；（3）集成于应用市场，作为门禁剔除低质量应用进入鸿蒙生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可运行的作品源码与使用说明文档。内容包含但不限于：（1）软件基本信息：标题、摘要、软件分类、应用领域等；（2）作品概述：项目背景、应用领域、设计思路、功能特点、体系架构、关键技术等；（3）其他与项目有关的内容。</w:t>
            </w:r>
          </w:p>
          <w:p>
            <w:pPr>
              <w:widowControl/>
              <w:adjustRightInd w:val="0"/>
              <w:snapToGrid w:val="0"/>
              <w:spacing w:line="400" w:lineRule="exact"/>
              <w:ind w:firstLine="480" w:firstLineChars="200"/>
              <w:rPr>
                <w:rFonts w:eastAsia="方正仿宋简体"/>
                <w:bCs/>
                <w:spacing w:val="6"/>
                <w:kern w:val="0"/>
                <w:sz w:val="24"/>
                <w:szCs w:val="28"/>
              </w:rPr>
            </w:pPr>
            <w:r>
              <w:rPr>
                <w:rFonts w:eastAsia="仿宋"/>
                <w:kern w:val="0"/>
                <w:sz w:val="24"/>
              </w:rPr>
              <w:t>作品将依据分析框架提供功能的完备性、易用性以及分析结果的准确性等标准展开评判。</w:t>
            </w:r>
          </w:p>
        </w:tc>
      </w:tr>
    </w:tbl>
    <w:p>
      <w:pPr>
        <w:widowControl/>
        <w:tabs>
          <w:tab w:val="left" w:pos="8640"/>
        </w:tabs>
        <w:adjustRightInd w:val="0"/>
        <w:snapToGrid w:val="0"/>
        <w:spacing w:line="440" w:lineRule="exact"/>
        <w:rPr>
          <w:rFonts w:eastAsia="方正黑体简体"/>
          <w:bCs/>
          <w:spacing w:val="6"/>
          <w:kern w:val="0"/>
          <w:sz w:val="32"/>
          <w:szCs w:val="32"/>
          <w:lang w:val="en-GB"/>
        </w:rPr>
      </w:pPr>
    </w:p>
    <w:p>
      <w:pPr>
        <w:widowControl/>
        <w:tabs>
          <w:tab w:val="left" w:pos="8640"/>
        </w:tabs>
        <w:adjustRightInd w:val="0"/>
        <w:snapToGrid w:val="0"/>
        <w:spacing w:line="440" w:lineRule="exact"/>
        <w:rPr>
          <w:rFonts w:eastAsia="方正黑体简体"/>
          <w:bCs/>
          <w:spacing w:val="6"/>
          <w:kern w:val="0"/>
          <w:sz w:val="32"/>
          <w:szCs w:val="32"/>
          <w:lang w:val="en-GB"/>
        </w:rPr>
      </w:pPr>
      <w:r>
        <w:rPr>
          <w:rFonts w:eastAsia="方正黑体简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配备专门指导人员并提供实验所需要的环境。</w:t>
            </w:r>
          </w:p>
          <w:p>
            <w:pPr>
              <w:widowControl/>
              <w:adjustRightInd w:val="0"/>
              <w:snapToGrid w:val="0"/>
              <w:rPr>
                <w:rFonts w:eastAsia="方正仿宋简体"/>
                <w:bCs/>
                <w:spacing w:val="6"/>
                <w:kern w:val="0"/>
                <w:sz w:val="24"/>
                <w:szCs w:val="2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480" w:firstLineChars="200"/>
              <w:rPr>
                <w:rFonts w:eastAsia="方正仿宋简体"/>
                <w:bCs/>
                <w:spacing w:val="6"/>
                <w:kern w:val="0"/>
                <w:sz w:val="24"/>
                <w:szCs w:val="28"/>
              </w:rPr>
            </w:pPr>
            <w:r>
              <w:rPr>
                <w:rFonts w:eastAsia="仿宋"/>
                <w:kern w:val="0"/>
                <w:sz w:val="24"/>
              </w:rPr>
              <w:t>为获奖团队人员提供实习和就业机会。</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-07</w:t>
      </w:r>
    </w:p>
    <w:p>
      <w:pPr>
        <w:widowControl/>
        <w:tabs>
          <w:tab w:val="left" w:pos="8640"/>
        </w:tabs>
        <w:adjustRightInd w:val="0"/>
        <w:snapToGrid w:val="0"/>
        <w:spacing w:line="640" w:lineRule="exact"/>
        <w:jc w:val="center"/>
        <w:rPr>
          <w:rFonts w:eastAsia="方正小标宋简体"/>
          <w:bCs/>
          <w:kern w:val="0"/>
          <w:sz w:val="40"/>
          <w:szCs w:val="40"/>
        </w:rPr>
      </w:pPr>
    </w:p>
    <w:p>
      <w:pPr>
        <w:widowControl/>
        <w:adjustRightInd w:val="0"/>
        <w:snapToGrid w:val="0"/>
        <w:jc w:val="center"/>
        <w:rPr>
          <w:rFonts w:eastAsia="方正黑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74"/>
        <w:gridCol w:w="187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赛诺联合医疗科技（北京）有限公司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北京市海淀区永泰庄北路1号天地邻枫1号楼1层101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赛诺联合医疗成立于2011年，注册资金10550.081万元，是一家总部位于北京市中关村的高端医疗装备制造商和创新服务供应商，主营PET/CT等高端医学影像设备的研发、生产及销售等，是国家高新技术企业、中关村高新技术企业及北京市</w:t>
            </w:r>
            <w:r>
              <w:rPr>
                <w:rFonts w:hint="eastAsia" w:eastAsia="仿宋"/>
                <w:kern w:val="0"/>
                <w:sz w:val="24"/>
              </w:rPr>
              <w:t>“</w:t>
            </w:r>
            <w:r>
              <w:rPr>
                <w:rFonts w:eastAsia="仿宋"/>
                <w:kern w:val="0"/>
                <w:sz w:val="24"/>
              </w:rPr>
              <w:t>专精特新</w:t>
            </w:r>
            <w:r>
              <w:rPr>
                <w:rFonts w:hint="eastAsia" w:eastAsia="仿宋"/>
                <w:kern w:val="0"/>
                <w:sz w:val="24"/>
              </w:rPr>
              <w:t>”</w:t>
            </w:r>
            <w:r>
              <w:rPr>
                <w:rFonts w:eastAsia="仿宋"/>
                <w:kern w:val="0"/>
                <w:sz w:val="24"/>
              </w:rPr>
              <w:t>中小企业。</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公司自成立以来，坚决落实国家推进科技自立自强的要求，瞄准关键核心技术特别是</w:t>
            </w:r>
            <w:r>
              <w:rPr>
                <w:rFonts w:hint="eastAsia" w:eastAsia="仿宋"/>
                <w:kern w:val="0"/>
                <w:sz w:val="24"/>
              </w:rPr>
              <w:t>“</w:t>
            </w:r>
            <w:r>
              <w:rPr>
                <w:rFonts w:eastAsia="仿宋"/>
                <w:kern w:val="0"/>
                <w:sz w:val="24"/>
              </w:rPr>
              <w:t>卡脖子</w:t>
            </w:r>
            <w:r>
              <w:rPr>
                <w:rFonts w:hint="eastAsia" w:eastAsia="仿宋"/>
                <w:kern w:val="0"/>
                <w:sz w:val="24"/>
              </w:rPr>
              <w:t>”</w:t>
            </w:r>
            <w:r>
              <w:rPr>
                <w:rFonts w:eastAsia="仿宋"/>
                <w:kern w:val="0"/>
                <w:sz w:val="24"/>
              </w:rPr>
              <w:t>难题，加快核心技术攻关，致力于PET/CT等核心技术自主研发，目前是全球四家高端PET/CT厂商之一。公司相关科研工作获得2019年度北京市科学技术二等奖；累计承担2项北京市科技计划项目、2项</w:t>
            </w:r>
            <w:r>
              <w:rPr>
                <w:rFonts w:hint="eastAsia" w:eastAsia="仿宋"/>
                <w:kern w:val="0"/>
                <w:sz w:val="24"/>
              </w:rPr>
              <w:t>“</w:t>
            </w:r>
            <w:r>
              <w:rPr>
                <w:rFonts w:eastAsia="仿宋"/>
                <w:kern w:val="0"/>
                <w:sz w:val="24"/>
              </w:rPr>
              <w:t>十三五</w:t>
            </w:r>
            <w:r>
              <w:rPr>
                <w:rFonts w:hint="eastAsia" w:eastAsia="仿宋"/>
                <w:kern w:val="0"/>
                <w:sz w:val="24"/>
              </w:rPr>
              <w:t>”</w:t>
            </w:r>
            <w:r>
              <w:rPr>
                <w:rFonts w:eastAsia="仿宋"/>
                <w:kern w:val="0"/>
                <w:sz w:val="24"/>
              </w:rPr>
              <w:t>科技部国家重点研发计划项目；产品分别入选2017年度和2022年度中国医学装备协会</w:t>
            </w:r>
            <w:r>
              <w:rPr>
                <w:rFonts w:hint="eastAsia" w:eastAsia="仿宋"/>
                <w:kern w:val="0"/>
                <w:sz w:val="24"/>
              </w:rPr>
              <w:t>“</w:t>
            </w:r>
            <w:r>
              <w:rPr>
                <w:rFonts w:eastAsia="仿宋"/>
                <w:kern w:val="0"/>
                <w:sz w:val="24"/>
              </w:rPr>
              <w:t>优秀国产医疗装备</w:t>
            </w:r>
            <w:r>
              <w:rPr>
                <w:rFonts w:hint="eastAsia" w:eastAsia="仿宋"/>
                <w:kern w:val="0"/>
                <w:sz w:val="24"/>
              </w:rPr>
              <w:t>”</w:t>
            </w:r>
            <w:r>
              <w:rPr>
                <w:rFonts w:eastAsia="仿宋"/>
                <w:kern w:val="0"/>
                <w:sz w:val="24"/>
              </w:rPr>
              <w:t>目录、获得北京市新技术新产品（服务）认定；用户包括北京协和医院、北京友谊医院、北京积水潭医院等顶尖三甲医院，获得核医学行业专家一致好评。</w:t>
            </w:r>
          </w:p>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2022年2月，我司与荷兰皇家飞利浦公司共同签订了投资和商业合作协议，实现长期的战略合作关系，将与飞利浦公司开展包括PET/CT产品生产、国内外市场销售等全面业务合作。目前，赛诺联合医疗已形成了核医学全线解决方案，涵盖核医学成像设备，核医学影像AI处理技术、远程医疗会诊平台等，可为各层级医疗机构提供最为完整的核医学产品及技术服务，坚持专研迭代，持续推动国产核医学相关产业技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eastAsia="方正仿宋简体"/>
                <w:bCs/>
                <w:spacing w:val="6"/>
                <w:kern w:val="0"/>
                <w:sz w:val="24"/>
                <w:szCs w:val="28"/>
                <w:lang w:val="en-GB"/>
              </w:rPr>
            </w:pPr>
            <w:r>
              <w:rPr>
                <w:rFonts w:eastAsia="楷体"/>
                <w:kern w:val="0"/>
                <w:sz w:val="28"/>
                <w:szCs w:val="28"/>
              </w:rPr>
              <w:t>联系人</w:t>
            </w:r>
          </w:p>
        </w:tc>
        <w:tc>
          <w:tcPr>
            <w:tcW w:w="2274" w:type="dxa"/>
            <w:vAlign w:val="center"/>
          </w:tcPr>
          <w:p>
            <w:pPr>
              <w:widowControl/>
              <w:adjustRightInd w:val="0"/>
              <w:snapToGrid w:val="0"/>
              <w:jc w:val="center"/>
              <w:rPr>
                <w:rFonts w:eastAsia="方正仿宋简体"/>
                <w:kern w:val="0"/>
                <w:sz w:val="24"/>
              </w:rPr>
            </w:pPr>
            <w:r>
              <w:rPr>
                <w:rFonts w:eastAsia="仿宋"/>
                <w:kern w:val="0"/>
                <w:sz w:val="24"/>
              </w:rPr>
              <w:t>马老师</w:t>
            </w:r>
          </w:p>
        </w:tc>
        <w:tc>
          <w:tcPr>
            <w:tcW w:w="1875" w:type="dxa"/>
            <w:vAlign w:val="center"/>
          </w:tcPr>
          <w:p>
            <w:pPr>
              <w:widowControl/>
              <w:adjustRightInd w:val="0"/>
              <w:snapToGrid w:val="0"/>
              <w:jc w:val="center"/>
              <w:rPr>
                <w:rFonts w:eastAsia="楷体"/>
                <w:kern w:val="0"/>
                <w:sz w:val="28"/>
                <w:szCs w:val="28"/>
                <w:lang w:val="en-GB"/>
              </w:rPr>
            </w:pPr>
            <w:r>
              <w:rPr>
                <w:rFonts w:eastAsia="楷体"/>
                <w:kern w:val="0"/>
                <w:sz w:val="28"/>
                <w:szCs w:val="28"/>
              </w:rPr>
              <w:t>联系方式</w:t>
            </w:r>
          </w:p>
        </w:tc>
        <w:tc>
          <w:tcPr>
            <w:tcW w:w="2783" w:type="dxa"/>
            <w:vAlign w:val="center"/>
          </w:tcPr>
          <w:p>
            <w:pPr>
              <w:widowControl/>
              <w:adjustRightInd w:val="0"/>
              <w:snapToGrid w:val="0"/>
              <w:jc w:val="center"/>
              <w:rPr>
                <w:rFonts w:eastAsia="方正仿宋简体"/>
                <w:kern w:val="0"/>
                <w:sz w:val="24"/>
                <w:lang w:val="en-GB"/>
              </w:rPr>
            </w:pPr>
            <w:r>
              <w:rPr>
                <w:rFonts w:eastAsia="方正仿宋简体"/>
                <w:kern w:val="0"/>
                <w:sz w:val="24"/>
              </w:rPr>
              <w:t>18112135885</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基于AI大模型的PET图像智能诊断一体化解决方案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医学人工智能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pacing w:line="400" w:lineRule="exact"/>
              <w:ind w:firstLine="480" w:firstLineChars="200"/>
              <w:jc w:val="left"/>
              <w:rPr>
                <w:rFonts w:eastAsia="仿宋"/>
                <w:kern w:val="0"/>
                <w:sz w:val="24"/>
              </w:rPr>
            </w:pPr>
            <w:r>
              <w:rPr>
                <w:rFonts w:eastAsia="仿宋"/>
                <w:kern w:val="0"/>
                <w:sz w:val="24"/>
              </w:rPr>
              <w:t>目前医院核医学科按日均扫描量为30例，预估完成全天病人检查需要10小时以上，核医学科医务人员临床工作压力巨大，掣肘明显。现有PET/CT设备的扫描速度已经对快速增长的临床检查需求形成严重制约，亟需通过新技术解决临床面临的矛盾。同时，在目前的PET/CT临床实践中，为保证图像质量，医院一般按照0.1-0.15mCi/kg的标准为患者注射放射性示踪剂。如果按照10mCi的常规注射剂量，放射性示踪剂对患者产生的辐射剂量约7mSv。随着PET/CT检查需求的快速增长，辐射剂量对患者以及医护人员的影响也日益受到关注。如何通过降低检查辐射剂量，使得PET/CT检查的安全性得到临床科室的接受和认可，成为推动PET/CT进入越来越多的精准诊疗一体化临床路径的一个关键因素。</w:t>
            </w:r>
          </w:p>
          <w:p>
            <w:pPr>
              <w:widowControl/>
              <w:adjustRightInd w:val="0"/>
              <w:spacing w:line="400" w:lineRule="exact"/>
              <w:ind w:firstLine="480" w:firstLineChars="200"/>
              <w:jc w:val="left"/>
              <w:rPr>
                <w:rFonts w:eastAsia="方正仿宋简体"/>
                <w:bCs/>
                <w:kern w:val="0"/>
                <w:sz w:val="24"/>
              </w:rPr>
            </w:pPr>
            <w:r>
              <w:rPr>
                <w:rFonts w:eastAsia="仿宋"/>
                <w:kern w:val="0"/>
                <w:sz w:val="24"/>
              </w:rPr>
              <w:t>因此，希望基于医学人工智能技术的发展，提出一种实现低剂量且快速成像的解决方案。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实现PET图像中低放射性示踪剂注射活度以及短时间扫描的情况下完成图像采集，并寻到高质量PET图像，从而同时解决PET/CT成像速度慢以及辐射风险高等难题。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2" w:firstLineChars="200"/>
              <w:jc w:val="left"/>
              <w:rPr>
                <w:rFonts w:eastAsia="仿宋"/>
                <w:kern w:val="0"/>
                <w:sz w:val="24"/>
              </w:rPr>
            </w:pPr>
            <w:r>
              <w:rPr>
                <w:rFonts w:eastAsia="仿宋"/>
                <w:b/>
                <w:bCs/>
                <w:kern w:val="0"/>
                <w:sz w:val="24"/>
              </w:rPr>
              <w:t>提报形式：</w:t>
            </w:r>
            <w:r>
              <w:rPr>
                <w:rFonts w:eastAsia="仿宋"/>
                <w:kern w:val="0"/>
                <w:sz w:val="24"/>
              </w:rPr>
              <w:t>以个人或团队形式参赛均可，每个团队不超过3人，提交作品方案一份。</w:t>
            </w:r>
          </w:p>
          <w:p>
            <w:pPr>
              <w:widowControl/>
              <w:adjustRightInd w:val="0"/>
              <w:snapToGrid w:val="0"/>
              <w:spacing w:line="400" w:lineRule="exact"/>
              <w:ind w:firstLine="482" w:firstLineChars="200"/>
              <w:jc w:val="left"/>
              <w:rPr>
                <w:rFonts w:eastAsia="仿宋"/>
                <w:kern w:val="0"/>
                <w:sz w:val="24"/>
              </w:rPr>
            </w:pPr>
            <w:r>
              <w:rPr>
                <w:rFonts w:eastAsia="仿宋"/>
                <w:b/>
                <w:bCs/>
                <w:kern w:val="0"/>
                <w:sz w:val="24"/>
              </w:rPr>
              <w:t>提报要求：</w:t>
            </w:r>
            <w:r>
              <w:rPr>
                <w:rFonts w:eastAsia="仿宋"/>
                <w:kern w:val="0"/>
                <w:sz w:val="24"/>
              </w:rPr>
              <w:t>作品方案需阐明团队简介、技术来源、技术路线、技术创新、技术优势、技术预期实现效益及技术可应用性等。</w:t>
            </w:r>
          </w:p>
          <w:p>
            <w:pPr>
              <w:widowControl/>
              <w:adjustRightInd w:val="0"/>
              <w:snapToGrid w:val="0"/>
              <w:spacing w:line="400" w:lineRule="exact"/>
              <w:ind w:firstLine="482" w:firstLineChars="200"/>
              <w:jc w:val="left"/>
              <w:rPr>
                <w:rFonts w:eastAsia="方正仿宋简体"/>
                <w:kern w:val="0"/>
                <w:sz w:val="24"/>
                <w:lang w:val="en-GB"/>
              </w:rPr>
            </w:pPr>
            <w:r>
              <w:rPr>
                <w:rFonts w:eastAsia="仿宋"/>
                <w:b/>
                <w:bCs/>
                <w:kern w:val="0"/>
                <w:sz w:val="24"/>
              </w:rPr>
              <w:t>评选标准：</w:t>
            </w:r>
            <w:r>
              <w:rPr>
                <w:rFonts w:eastAsia="仿宋"/>
                <w:kern w:val="0"/>
                <w:sz w:val="24"/>
              </w:rPr>
              <w:t>通过PPT答辩形式进行线下或线上评选，由评审专家从技术创新性、技术预期效益、技术可应用性及团队实力等方面进行评选。</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0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786"/>
        <w:gridCol w:w="6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786"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指导措施</w:t>
            </w:r>
          </w:p>
        </w:tc>
        <w:tc>
          <w:tcPr>
            <w:tcW w:w="6217"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可为参赛团队集中组织1次线上PET/CT技术交流沟通会，帮助参赛团队更好</w:t>
            </w:r>
            <w:r>
              <w:rPr>
                <w:rFonts w:hint="eastAsia" w:eastAsia="仿宋"/>
                <w:kern w:val="0"/>
                <w:sz w:val="24"/>
              </w:rPr>
              <w:t>地</w:t>
            </w:r>
            <w:r>
              <w:rPr>
                <w:rFonts w:eastAsia="仿宋"/>
                <w:kern w:val="0"/>
                <w:sz w:val="24"/>
              </w:rPr>
              <w:t>了解参赛题目；可为参赛团队代表集中组织1次10人以内的北京核医学科参观交流机会，帮助参赛团队走进PET/CT实际应用场景，切身了解临床需求；整个参赛期间，为参赛团队提供专门指导人员，解答及帮助其协调参赛过程的相关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786"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奖励措施</w:t>
            </w:r>
          </w:p>
        </w:tc>
        <w:tc>
          <w:tcPr>
            <w:tcW w:w="6217"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rPr>
            </w:pPr>
            <w:r>
              <w:rPr>
                <w:rFonts w:eastAsia="仿宋"/>
                <w:kern w:val="0"/>
                <w:sz w:val="24"/>
              </w:rPr>
              <w:t>根据排名情况，为部分优秀获奖团队提供实习机会；给予</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团队奖励，提供1个免试入职机会，入职3个月后通过考核即可正式转正，转正后可协助其申请园区公租房以解决通勤问题。</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-08</w:t>
      </w:r>
    </w:p>
    <w:p>
      <w:pPr>
        <w:widowControl/>
        <w:adjustRightInd w:val="0"/>
        <w:snapToGrid w:val="0"/>
        <w:jc w:val="center"/>
        <w:rPr>
          <w:rFonts w:eastAsia="Times New Roman"/>
          <w:kern w:val="0"/>
          <w:sz w:val="24"/>
          <w:lang w:val="en-GB"/>
        </w:rPr>
      </w:pPr>
    </w:p>
    <w:p>
      <w:pPr>
        <w:widowControl/>
        <w:adjustRightInd w:val="0"/>
        <w:snapToGrid w:val="0"/>
        <w:jc w:val="center"/>
        <w:rPr>
          <w:rFonts w:eastAsia="Times New Roman"/>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77"/>
        <w:gridCol w:w="147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jc w:val="center"/>
              <w:rPr>
                <w:rFonts w:eastAsia="仿宋"/>
                <w:kern w:val="0"/>
                <w:sz w:val="24"/>
                <w:lang w:val="en-GB"/>
              </w:rPr>
            </w:pPr>
            <w:r>
              <w:rPr>
                <w:rFonts w:eastAsia="仿宋"/>
                <w:kern w:val="0"/>
                <w:sz w:val="24"/>
                <w:lang w:val="en-GB"/>
              </w:rPr>
              <w:t>北京佰仁医疗科技股份有限公司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单位类型</w:t>
            </w:r>
          </w:p>
        </w:tc>
        <w:tc>
          <w:tcPr>
            <w:tcW w:w="6932" w:type="dxa"/>
            <w:gridSpan w:val="3"/>
            <w:vAlign w:val="center"/>
          </w:tcPr>
          <w:p>
            <w:pPr>
              <w:widowControl/>
              <w:adjustRightInd w:val="0"/>
              <w:snapToGrid w:val="0"/>
              <w:jc w:val="center"/>
              <w:rPr>
                <w:rFonts w:eastAsia="仿宋"/>
                <w:kern w:val="0"/>
                <w:sz w:val="24"/>
                <w:lang w:val="en-GB"/>
              </w:rPr>
            </w:pPr>
            <w:r>
              <w:rPr>
                <w:rFonts w:eastAsia="仿宋"/>
                <w:kern w:val="0"/>
                <w:sz w:val="24"/>
                <w:lang w:val="en-GB"/>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jc w:val="center"/>
              <w:rPr>
                <w:rFonts w:eastAsia="仿宋"/>
                <w:kern w:val="0"/>
                <w:sz w:val="24"/>
                <w:lang w:val="en-GB"/>
              </w:rPr>
            </w:pPr>
            <w:r>
              <w:rPr>
                <w:rFonts w:eastAsia="仿宋"/>
                <w:kern w:val="0"/>
                <w:sz w:val="24"/>
                <w:lang w:val="en-GB"/>
              </w:rPr>
              <w:t>北京市昌平区科技园东区华昌路2号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单位简介</w:t>
            </w:r>
          </w:p>
        </w:tc>
        <w:tc>
          <w:tcPr>
            <w:tcW w:w="6932" w:type="dxa"/>
            <w:gridSpan w:val="3"/>
            <w:vAlign w:val="center"/>
          </w:tcPr>
          <w:p>
            <w:pPr>
              <w:widowControl/>
              <w:adjustRightInd w:val="0"/>
              <w:snapToGrid w:val="0"/>
              <w:jc w:val="center"/>
              <w:rPr>
                <w:rFonts w:eastAsia="仿宋"/>
                <w:kern w:val="0"/>
                <w:sz w:val="24"/>
                <w:lang w:val="en-GB"/>
              </w:rPr>
            </w:pP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北京佰仁医疗科技股份有限公司，成立于2005年，是一家致力于动物源性植介入高值医疗器械研发与生产的高新技术企业。公司自主研发动物组织工程和原创化学改性处理技术，目前已获批准17个Ⅲ类医疗器械产品，公司是国内技术领先的动物源性植介入医疗器械研发平台企业，产品覆盖心脏瓣膜置换与修复、先天性心脏病植介入治疗以及外科软组织修复三大领域。</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公司拥有原创性的动物组织工程和化学改性处理技术，可使处理后的动物组织植入人体后抗排异、抗钙化、长期满足预期治疗要求。公司使用该技术生产的人工生物心脏瓣膜——牛心包瓣于2003年获得注册，是国内最早注册、目前唯一有长期循证医学数据的国产产品。依据平台技术，公司延伸开发了生物补片类产品，应用于循环系统修复、胸外气管与肺组织修复、硬脑（脊）膜修复以及疝修复等并将进一步向眼科、血管外科等延伸应用。截至目前，公司人工生物心脏瓣膜（牛心包瓣、猪主动脉瓣）、肺动脉带瓣管道、瓣膜成形环、心外科生物补片、神经外科微血管减压垫片、流出道单瓣补片、限位可扩张人工生物心脏瓣膜8项产品均为国内首个获准注册的国产同类产品，填补了国内空白，共获得20余项国内外发明专利授权。公司于2019年12月成功登陆上海证券交易所科创板（股票代码：688198）。</w:t>
            </w:r>
          </w:p>
          <w:p>
            <w:pPr>
              <w:widowControl/>
              <w:adjustRightInd w:val="0"/>
              <w:snapToGrid w:val="0"/>
              <w:jc w:val="center"/>
              <w:rPr>
                <w:rFonts w:eastAsia="仿宋"/>
                <w:kern w:val="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rPr>
            </w:pPr>
            <w:r>
              <w:rPr>
                <w:rFonts w:eastAsia="楷体"/>
                <w:kern w:val="0"/>
                <w:sz w:val="28"/>
                <w:szCs w:val="32"/>
              </w:rPr>
              <w:t>联系人</w:t>
            </w:r>
          </w:p>
        </w:tc>
        <w:tc>
          <w:tcPr>
            <w:tcW w:w="2677" w:type="dxa"/>
            <w:vAlign w:val="center"/>
          </w:tcPr>
          <w:p>
            <w:pPr>
              <w:widowControl/>
              <w:adjustRightInd w:val="0"/>
              <w:snapToGrid w:val="0"/>
              <w:jc w:val="center"/>
              <w:rPr>
                <w:rFonts w:eastAsia="仿宋"/>
                <w:bCs/>
                <w:spacing w:val="6"/>
                <w:kern w:val="0"/>
                <w:sz w:val="24"/>
                <w:szCs w:val="28"/>
              </w:rPr>
            </w:pPr>
            <w:r>
              <w:rPr>
                <w:rFonts w:eastAsia="仿宋"/>
                <w:kern w:val="0"/>
                <w:sz w:val="24"/>
              </w:rPr>
              <w:t>吴老师</w:t>
            </w:r>
          </w:p>
        </w:tc>
        <w:tc>
          <w:tcPr>
            <w:tcW w:w="1472"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方正仿宋简体"/>
                <w:kern w:val="0"/>
                <w:sz w:val="24"/>
              </w:rPr>
            </w:pPr>
            <w:r>
              <w:rPr>
                <w:rFonts w:eastAsia="方正仿宋简体"/>
                <w:kern w:val="0"/>
                <w:sz w:val="24"/>
              </w:rPr>
              <w:t>13501059630</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右心室流出道流场构型对复杂先心病治疗植入器械的影响评估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医疗器械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先天性心脏病是我国比例最高的出生人口缺陷，占出生人口的</w:t>
            </w:r>
            <w:r>
              <w:rPr>
                <w:rFonts w:hint="eastAsia" w:eastAsia="仿宋"/>
                <w:kern w:val="0"/>
                <w:sz w:val="24"/>
              </w:rPr>
              <w:t>0.6%-0.8%</w:t>
            </w:r>
            <w:r>
              <w:rPr>
                <w:rFonts w:eastAsia="仿宋"/>
                <w:kern w:val="0"/>
                <w:sz w:val="24"/>
              </w:rPr>
              <w:t>。每年有十万左右的新生儿患有先天性心脏病，其中复杂先天性心脏病的治疗大都涉及右心室流出道（RVOT）的修补或重建。</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北京佰仁医疗科技股份有限公司在科技部十二五支撑计划支持下研发了</w:t>
            </w:r>
            <w:r>
              <w:rPr>
                <w:rFonts w:hint="eastAsia" w:eastAsia="仿宋"/>
                <w:kern w:val="0"/>
                <w:sz w:val="24"/>
              </w:rPr>
              <w:t>“</w:t>
            </w:r>
            <w:r>
              <w:rPr>
                <w:rFonts w:eastAsia="仿宋"/>
                <w:kern w:val="0"/>
                <w:sz w:val="24"/>
              </w:rPr>
              <w:t>肺动脉带瓣管道及单瓣补片</w:t>
            </w:r>
            <w:r>
              <w:rPr>
                <w:rFonts w:hint="eastAsia" w:eastAsia="仿宋"/>
                <w:kern w:val="0"/>
                <w:sz w:val="24"/>
              </w:rPr>
              <w:t>”</w:t>
            </w:r>
            <w:r>
              <w:rPr>
                <w:rFonts w:eastAsia="仿宋"/>
                <w:kern w:val="0"/>
                <w:sz w:val="24"/>
              </w:rPr>
              <w:t>产品，为该类手术提供了必要的植入器械。在术后多年随访中发现，植入器械不同瓣叶钙化发生率明显不同，程度各异。相比主动脉瓣，肺动脉瓣周围流场构型的差异巨大，而植入材料钙化与其遭受的流体剪切力环境直接相关。对RVOT到肺动脉的血流动力学环境流场进行体外建模，在不同模型下进行流场测量研究，对于建立其对植入物钙化影响机制意义重大。</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本榜单要求参赛者建立基本的RVOT到主肺动脉体外模型，建立基于数字粒子图像测速（PIV）技术的肺动脉瓣局部流场评测方法，评测不同RVOT构型对植入器械的影响。</w:t>
            </w:r>
          </w:p>
          <w:p>
            <w:pPr>
              <w:widowControl/>
              <w:adjustRightInd w:val="0"/>
              <w:snapToGrid w:val="0"/>
              <w:ind w:firstLine="480" w:firstLineChars="200"/>
              <w:jc w:val="left"/>
              <w:rPr>
                <w:rFonts w:eastAsia="仿宋"/>
                <w:kern w:val="0"/>
                <w:sz w:val="24"/>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预期取得的</w:t>
            </w:r>
          </w:p>
          <w:p>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我国作为人口大国也是新生儿出生缺陷大国，先天性心脏病的治疗得到了历届党和政府的高度重视。佰仁医疗在国家科技支撑计划下研发了供复杂先心病治疗的植入器械，如何进行手术操作、如何缝合人体组织和植入器械，这些手术操作直接关系到植入器械在患者体内有更高的效率，更长久的使用寿命。</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目前世界上还没有全尺寸的肺动脉带瓣管道及单瓣补片产品，更没有评价及远期随访结果，而这些产品的使用关系到每年</w:t>
            </w:r>
            <w:r>
              <w:rPr>
                <w:rFonts w:hint="eastAsia" w:eastAsia="仿宋"/>
                <w:kern w:val="0"/>
                <w:sz w:val="24"/>
                <w:lang w:val="en-GB"/>
              </w:rPr>
              <w:t>数以万计</w:t>
            </w:r>
            <w:r>
              <w:rPr>
                <w:rFonts w:eastAsia="仿宋"/>
                <w:kern w:val="0"/>
                <w:sz w:val="24"/>
                <w:lang w:val="en-GB"/>
              </w:rPr>
              <w:t>的复杂先心病手术的开展。在全球范围内，只有美敦力公司有小尺寸的带瓣管道产品用于人道主义豁免手术，其他RVOT的重建都采用器官捐献移植来实现治疗。</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我国器官捐献严重不足，对于先心病治疗杯水车薪。佰仁医疗的产品就是为此而研发的，至今已经有数</w:t>
            </w:r>
            <w:r>
              <w:rPr>
                <w:rFonts w:hint="eastAsia" w:eastAsia="仿宋"/>
                <w:kern w:val="0"/>
                <w:sz w:val="24"/>
                <w:lang w:val="en-GB"/>
              </w:rPr>
              <w:t>以千计</w:t>
            </w:r>
            <w:r>
              <w:rPr>
                <w:rFonts w:eastAsia="仿宋"/>
                <w:kern w:val="0"/>
                <w:sz w:val="24"/>
                <w:lang w:val="en-GB"/>
              </w:rPr>
              <w:t>的患儿获得救治。至今的随后随访表明，不同的管道及单瓣的缝合方式对其中肺动脉瓣瓣叶的耐久性影响很大，其中最重要的因素就是流出道的方向改变导致的流场剪切力的变化。</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早在上</w:t>
            </w:r>
            <w:r>
              <w:rPr>
                <w:rFonts w:hint="eastAsia" w:eastAsia="仿宋"/>
                <w:kern w:val="0"/>
                <w:sz w:val="24"/>
                <w:lang w:val="en-GB"/>
              </w:rPr>
              <w:t>世纪</w:t>
            </w:r>
            <w:r>
              <w:rPr>
                <w:rFonts w:eastAsia="仿宋"/>
                <w:kern w:val="0"/>
                <w:sz w:val="24"/>
                <w:lang w:val="en-GB"/>
              </w:rPr>
              <w:t>70年代，法国医生Carpentier就指出，导致生物瓣钙化的重要机制之一就是其遭受的血流流场剪切力。然而对于瓣叶周围流场的测量及仿真研究很少，肺动脉瓣更是如此。本项目的召集旨在建立右心室流出血流的环境模型，进一步探究肺动脉瓣瓣膜钙化的潜在风险，为公司已上市的带瓣管道和单瓣产品的手术缝合提供理论依据，为改善其血流动力学性能和长期耐久性提供实验支撑。同时，评测方法的提升也可以为医疗器械监管部门提供更好的监管评价依据，为提升我国心血管植介入器械的自主创新能力提供评测方法支撑。</w:t>
            </w:r>
          </w:p>
          <w:p>
            <w:pPr>
              <w:widowControl/>
              <w:adjustRightInd w:val="0"/>
              <w:snapToGrid w:val="0"/>
              <w:ind w:firstLine="480" w:firstLineChars="200"/>
              <w:jc w:val="left"/>
              <w:rPr>
                <w:rFonts w:eastAsia="仿宋"/>
                <w:kern w:val="0"/>
                <w:sz w:val="24"/>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jc w:val="center"/>
              <w:rPr>
                <w:rFonts w:eastAsia="Times New Roman"/>
                <w:kern w:val="0"/>
                <w:sz w:val="24"/>
                <w:lang w:val="en-GB"/>
              </w:rPr>
            </w:pPr>
            <w:r>
              <w:rPr>
                <w:rFonts w:eastAsia="楷体"/>
                <w:kern w:val="0"/>
                <w:sz w:val="28"/>
                <w:szCs w:val="32"/>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ind w:firstLine="480" w:firstLineChars="200"/>
              <w:jc w:val="left"/>
              <w:rPr>
                <w:rFonts w:eastAsia="仿宋"/>
                <w:kern w:val="0"/>
                <w:sz w:val="24"/>
                <w:lang w:val="en-GB"/>
              </w:rPr>
            </w:pPr>
          </w:p>
          <w:p>
            <w:pPr>
              <w:widowControl/>
              <w:adjustRightInd w:val="0"/>
              <w:snapToGrid w:val="0"/>
              <w:spacing w:line="400" w:lineRule="exact"/>
              <w:ind w:firstLine="482" w:firstLineChars="200"/>
              <w:jc w:val="left"/>
              <w:rPr>
                <w:rFonts w:eastAsia="仿宋"/>
                <w:b/>
                <w:bCs/>
                <w:kern w:val="0"/>
                <w:sz w:val="24"/>
                <w:lang w:val="en-GB"/>
              </w:rPr>
            </w:pPr>
            <w:r>
              <w:rPr>
                <w:rFonts w:eastAsia="仿宋"/>
                <w:b/>
                <w:bCs/>
                <w:kern w:val="0"/>
                <w:sz w:val="24"/>
                <w:lang w:val="en-GB"/>
              </w:rPr>
              <w:t>作品形式：</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1. 材料文档：内容包括但不限于作品设计报告、测试报告、总结报告和使用说明等文档；</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2. 视频文档：介绍作品原理、实现方法、实验过程、计算/数据处理过程和结果展示；</w:t>
            </w:r>
          </w:p>
          <w:p>
            <w:pPr>
              <w:widowControl/>
              <w:adjustRightInd w:val="0"/>
              <w:snapToGrid w:val="0"/>
              <w:spacing w:line="400" w:lineRule="exact"/>
              <w:ind w:firstLine="482" w:firstLineChars="200"/>
              <w:jc w:val="left"/>
              <w:rPr>
                <w:rFonts w:eastAsia="仿宋"/>
                <w:b/>
                <w:bCs/>
                <w:kern w:val="0"/>
                <w:sz w:val="24"/>
                <w:lang w:val="en-GB"/>
              </w:rPr>
            </w:pPr>
            <w:r>
              <w:rPr>
                <w:rFonts w:eastAsia="仿宋"/>
                <w:b/>
                <w:bCs/>
                <w:kern w:val="0"/>
                <w:sz w:val="24"/>
                <w:lang w:val="en-GB"/>
              </w:rPr>
              <w:t>作品要求：</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1. 参赛者需要对给定的右室流出道构型建立流出道、肺动脉瓣及主肺动脉的体外测试模型，设计流场评测实验方法；</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2. 参赛者需要评测和对比不同右室流出道构型的肺动脉瓣局部流场，分析不同流出道构型的血流动力学特征对植入器械的影响；</w:t>
            </w:r>
          </w:p>
          <w:p>
            <w:pPr>
              <w:widowControl/>
              <w:adjustRightInd w:val="0"/>
              <w:snapToGrid w:val="0"/>
              <w:spacing w:line="400" w:lineRule="exact"/>
              <w:ind w:firstLine="482" w:firstLineChars="200"/>
              <w:jc w:val="left"/>
              <w:rPr>
                <w:rFonts w:eastAsia="仿宋"/>
                <w:b/>
                <w:bCs/>
                <w:kern w:val="0"/>
                <w:sz w:val="24"/>
                <w:lang w:val="en-GB"/>
              </w:rPr>
            </w:pPr>
            <w:r>
              <w:rPr>
                <w:rFonts w:eastAsia="仿宋"/>
                <w:b/>
                <w:bCs/>
                <w:kern w:val="0"/>
                <w:sz w:val="24"/>
                <w:lang w:val="en-GB"/>
              </w:rPr>
              <w:t>作品评选标准：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评委主要按照作品符合性、作品完整性、指标先进性和作品创新性4个方面进行综合评价，分值分配情况如下：</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（一）作品符合性：20分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1. 国内外发展情况调研分析全面性（分值：5分）；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2. 研究思路合理性、技术路线可行性（分值：5分）；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3. 工程可实现性（分值：10分）。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（二）作品完整性：15分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1. 设计报告、测试报告、总结报告和使用说明等文档完整、规范（分值：10分）。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2. 视频展示内容清晰完整（分值：5分）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（三）指标先进性：55分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对指定样本的评测和预测方法和结果进行评价：</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1. 体外模型的合理性，如保留关键特征的合理简化、与医学影像数据的一致性等（分值：15分）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2. 测试结果的准确性和稳定性，如局部位置流场刻画情况、多周期测试结果的稳定性等（分值：20分）；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2. 测试结果的全面性，如选取不同测试时刻、不同测试位置等（分值：10分）；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3. 测试结果分析的合理性（分值：10分）。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（四）作品创新性：10分</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采用新理论、运用新方法对已有理论和算法进行重要完善，并完成作品（分值：10分）。</w:t>
            </w:r>
          </w:p>
          <w:p>
            <w:pPr>
              <w:widowControl/>
              <w:adjustRightInd w:val="0"/>
              <w:snapToGrid w:val="0"/>
              <w:ind w:firstLine="480" w:firstLineChars="200"/>
              <w:jc w:val="left"/>
              <w:rPr>
                <w:rFonts w:eastAsia="仿宋"/>
                <w:kern w:val="0"/>
                <w:sz w:val="24"/>
                <w:lang w:val="en-GB"/>
              </w:rPr>
            </w:pP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基础条件：佰仁公司可提供测量用的瓣膜样本以及相关参数数据，并可根据需求优先为参赛选手学习参观和暑期实习；</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参观学习基地：佰仁公司瓣膜评测实验室作为开放交流平台和研究生实习基地，根据需求可优先为参赛选手学习参观和暑期</w:t>
            </w:r>
            <w:r>
              <w:rPr>
                <w:rFonts w:eastAsia="仿宋"/>
                <w:kern w:val="0"/>
                <w:sz w:val="24"/>
              </w:rPr>
              <w:t xml:space="preserve">  </w:t>
            </w:r>
            <w:r>
              <w:rPr>
                <w:rFonts w:eastAsia="仿宋"/>
                <w:kern w:val="0"/>
                <w:sz w:val="24"/>
                <w:lang w:val="en-GB"/>
              </w:rPr>
              <w:t>实习；</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企业指导教师：佰仁公司提供参赛指导教师，在比赛过程中可给予指导。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pPr>
              <w:widowControl/>
              <w:adjustRightInd w:val="0"/>
              <w:snapToGrid w:val="0"/>
              <w:jc w:val="left"/>
              <w:rPr>
                <w:rFonts w:eastAsia="仿宋"/>
                <w:kern w:val="0"/>
                <w:sz w:val="24"/>
                <w:lang w:val="en-GB"/>
              </w:rPr>
            </w:pPr>
          </w:p>
          <w:p>
            <w:pPr>
              <w:widowControl/>
              <w:adjustRightInd w:val="0"/>
              <w:snapToGrid w:val="0"/>
              <w:spacing w:line="400" w:lineRule="exact"/>
              <w:ind w:firstLine="480" w:firstLineChars="200"/>
              <w:jc w:val="left"/>
              <w:rPr>
                <w:rFonts w:eastAsia="仿宋"/>
                <w:kern w:val="0"/>
                <w:sz w:val="24"/>
              </w:rPr>
            </w:pPr>
            <w:r>
              <w:rPr>
                <w:rFonts w:eastAsia="仿宋"/>
                <w:kern w:val="0"/>
                <w:sz w:val="24"/>
              </w:rPr>
              <w:t>为</w:t>
            </w:r>
            <w:r>
              <w:rPr>
                <w:rFonts w:eastAsia="仿宋"/>
                <w:kern w:val="0"/>
                <w:sz w:val="24"/>
                <w:lang w:val="en-GB"/>
              </w:rPr>
              <w:t>擂主</w:t>
            </w:r>
            <w:r>
              <w:rPr>
                <w:rFonts w:eastAsia="仿宋"/>
                <w:kern w:val="0"/>
                <w:sz w:val="24"/>
              </w:rPr>
              <w:t>团队和部分排名靠前的获奖团队提供奖金支持。</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对于选择本题目的学生可优先安排暑期实习，实习期间提供科研津贴和食宿保障。</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全部获奖团队中应届毕业生参加校园招聘时，符合应聘条件者，直</w:t>
            </w:r>
            <w:r>
              <w:rPr>
                <w:rFonts w:hint="eastAsia" w:eastAsia="仿宋"/>
                <w:kern w:val="0"/>
                <w:sz w:val="24"/>
                <w:lang w:val="en-GB"/>
              </w:rPr>
              <w:t>接</w:t>
            </w:r>
            <w:r>
              <w:rPr>
                <w:rFonts w:eastAsia="仿宋"/>
                <w:kern w:val="0"/>
                <w:sz w:val="24"/>
                <w:lang w:val="en-GB"/>
              </w:rPr>
              <w:t>进入面试环节，同等条件下可优先录用。</w:t>
            </w:r>
          </w:p>
          <w:p>
            <w:pPr>
              <w:widowControl/>
              <w:adjustRightInd w:val="0"/>
              <w:snapToGrid w:val="0"/>
              <w:jc w:val="left"/>
              <w:rPr>
                <w:rFonts w:eastAsia="仿宋"/>
                <w:kern w:val="0"/>
                <w:sz w:val="24"/>
                <w:lang w:val="en-GB"/>
              </w:rPr>
            </w:pP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-09</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方正楷体简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90"/>
        <w:gridCol w:w="18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九一金融信息服务</w:t>
            </w:r>
            <w:r>
              <w:rPr>
                <w:rFonts w:hint="eastAsia" w:eastAsia="仿宋"/>
                <w:kern w:val="0"/>
                <w:sz w:val="24"/>
              </w:rPr>
              <w:t>（</w:t>
            </w:r>
            <w:r>
              <w:rPr>
                <w:rFonts w:eastAsia="仿宋"/>
                <w:kern w:val="0"/>
                <w:sz w:val="24"/>
              </w:rPr>
              <w:t>北京</w:t>
            </w:r>
            <w:r>
              <w:rPr>
                <w:rFonts w:hint="eastAsia" w:eastAsia="仿宋"/>
                <w:kern w:val="0"/>
                <w:sz w:val="24"/>
              </w:rPr>
              <w:t>）</w:t>
            </w:r>
            <w:r>
              <w:rPr>
                <w:rFonts w:eastAsia="仿宋"/>
                <w:kern w:val="0"/>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北京市西城区白广路11号九一科技大厦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方正仿宋简体"/>
                <w:kern w:val="0"/>
                <w:sz w:val="24"/>
              </w:rPr>
            </w:pPr>
            <w:r>
              <w:rPr>
                <w:rFonts w:eastAsia="仿宋"/>
                <w:kern w:val="0"/>
                <w:sz w:val="24"/>
              </w:rPr>
              <w:t>九一金融信息服务</w:t>
            </w:r>
            <w:r>
              <w:rPr>
                <w:rFonts w:hint="eastAsia" w:eastAsia="仿宋"/>
                <w:kern w:val="0"/>
                <w:sz w:val="24"/>
              </w:rPr>
              <w:t>（</w:t>
            </w:r>
            <w:r>
              <w:rPr>
                <w:rFonts w:eastAsia="仿宋"/>
                <w:kern w:val="0"/>
                <w:sz w:val="24"/>
              </w:rPr>
              <w:t>北京</w:t>
            </w:r>
            <w:r>
              <w:rPr>
                <w:rFonts w:hint="eastAsia" w:eastAsia="仿宋"/>
                <w:kern w:val="0"/>
                <w:sz w:val="24"/>
              </w:rPr>
              <w:t>）</w:t>
            </w:r>
            <w:r>
              <w:rPr>
                <w:rFonts w:eastAsia="仿宋"/>
                <w:kern w:val="0"/>
                <w:sz w:val="24"/>
              </w:rPr>
              <w:t>有限公司于2013年11月19日在北京市石景山区注册成立，注册资本：5438.270211万元</w:t>
            </w:r>
            <w:r>
              <w:rPr>
                <w:rFonts w:hint="eastAsia" w:eastAsia="仿宋"/>
                <w:kern w:val="0"/>
                <w:sz w:val="24"/>
              </w:rPr>
              <w:t>（</w:t>
            </w:r>
            <w:r>
              <w:rPr>
                <w:rFonts w:eastAsia="仿宋"/>
                <w:kern w:val="0"/>
                <w:sz w:val="24"/>
              </w:rPr>
              <w:t>实缴</w:t>
            </w:r>
            <w:r>
              <w:rPr>
                <w:rFonts w:hint="eastAsia" w:eastAsia="仿宋"/>
                <w:kern w:val="0"/>
                <w:sz w:val="24"/>
              </w:rPr>
              <w:t>），国家</w:t>
            </w:r>
            <w:r>
              <w:rPr>
                <w:rFonts w:eastAsia="仿宋"/>
                <w:kern w:val="0"/>
                <w:sz w:val="24"/>
              </w:rPr>
              <w:t>高新技术企业。91金融普惠金融业务意在运用互联网信息技术及数据分析等手段，提高交易效率，降低交易成本，切实推行普惠金融。</w:t>
            </w:r>
            <w:r>
              <w:rPr>
                <w:rFonts w:hint="eastAsia" w:eastAsia="仿宋"/>
                <w:kern w:val="0"/>
                <w:sz w:val="24"/>
              </w:rPr>
              <w:t>截至</w:t>
            </w:r>
            <w:r>
              <w:rPr>
                <w:rFonts w:eastAsia="仿宋"/>
                <w:kern w:val="0"/>
                <w:sz w:val="24"/>
              </w:rPr>
              <w:t>目前，集团已累计服务中小微企业、创新创业企业5万多家，切实缓解了中小企业发展中所面临的资金难题。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rPr>
            </w:pPr>
            <w:r>
              <w:rPr>
                <w:rFonts w:eastAsia="楷体"/>
                <w:kern w:val="0"/>
                <w:sz w:val="28"/>
                <w:szCs w:val="32"/>
              </w:rPr>
              <w:t>联系人</w:t>
            </w:r>
          </w:p>
        </w:tc>
        <w:tc>
          <w:tcPr>
            <w:tcW w:w="2290" w:type="dxa"/>
            <w:vAlign w:val="center"/>
          </w:tcPr>
          <w:p>
            <w:pPr>
              <w:widowControl/>
              <w:adjustRightInd w:val="0"/>
              <w:snapToGrid w:val="0"/>
              <w:jc w:val="center"/>
              <w:rPr>
                <w:rFonts w:eastAsia="仿宋"/>
                <w:bCs/>
                <w:spacing w:val="6"/>
                <w:kern w:val="0"/>
                <w:sz w:val="24"/>
                <w:szCs w:val="28"/>
              </w:rPr>
            </w:pPr>
            <w:r>
              <w:rPr>
                <w:rFonts w:eastAsia="仿宋"/>
                <w:kern w:val="0"/>
                <w:sz w:val="24"/>
              </w:rPr>
              <w:t>苏老师</w:t>
            </w:r>
          </w:p>
        </w:tc>
        <w:tc>
          <w:tcPr>
            <w:tcW w:w="1859"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方正仿宋简体"/>
                <w:kern w:val="0"/>
                <w:sz w:val="24"/>
              </w:rPr>
            </w:pPr>
            <w:r>
              <w:rPr>
                <w:rFonts w:eastAsia="方正仿宋简体"/>
                <w:kern w:val="0"/>
                <w:sz w:val="24"/>
              </w:rPr>
              <w:t>18515991189</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基于区块链技术的绿色能源金属来源的可追溯与认证机制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绿色能源金属、区块链、信息系统、可追溯、认证机制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本项目的研究目标是利用区块链技术追踪和验证绿色能源金属产品及其供应链的可持续性，基于全生命周期理论关注供应链对生物多样性影响。绿色能源金属是指用于太阳能、风能等绿色能源领域中的金属材料，如锂、钴、镍、锰、铁等。这些金属具有重要的电化学特性，可用于制造电池、逆变器、电动车等绿色能源产品。因其稀缺性及储量分布的不平衡性，绿色能源金属被世界各国都认为是重要的战略性资源。</w:t>
            </w:r>
          </w:p>
          <w:p>
            <w:pPr>
              <w:widowControl/>
              <w:adjustRightInd w:val="0"/>
              <w:snapToGrid w:val="0"/>
              <w:spacing w:line="400" w:lineRule="exact"/>
              <w:ind w:firstLine="480" w:firstLineChars="200"/>
              <w:rPr>
                <w:rFonts w:eastAsia="仿宋"/>
                <w:kern w:val="0"/>
                <w:sz w:val="24"/>
              </w:rPr>
            </w:pPr>
            <w:r>
              <w:rPr>
                <w:rFonts w:eastAsia="仿宋"/>
                <w:kern w:val="0"/>
                <w:sz w:val="24"/>
              </w:rPr>
              <w:t>可持续供应链是指在产品生产消费活动中考虑环境、社会和经济影响的供应链，从原材料的采集到最终产品交付给消费者的整个过程。这种供应链旨在最大化减少其运营对地球和人类的负面影响，同时最大化其积极效益。实现供应链的可持续性涉及多元利益相关者、复杂流程以及不同的标准和法规，是亟待解决的重要的研究问题。</w:t>
            </w:r>
          </w:p>
          <w:p>
            <w:pPr>
              <w:widowControl/>
              <w:adjustRightInd w:val="0"/>
              <w:snapToGrid w:val="0"/>
              <w:spacing w:line="400" w:lineRule="exact"/>
              <w:ind w:firstLine="480" w:firstLineChars="200"/>
              <w:rPr>
                <w:rFonts w:eastAsia="方正仿宋简体"/>
                <w:bCs/>
                <w:spacing w:val="6"/>
                <w:kern w:val="0"/>
                <w:sz w:val="24"/>
                <w:szCs w:val="28"/>
              </w:rPr>
            </w:pPr>
            <w:r>
              <w:rPr>
                <w:rFonts w:eastAsia="仿宋"/>
                <w:kern w:val="0"/>
                <w:sz w:val="24"/>
              </w:rPr>
              <w:t>区块链技术在这方面的潜力巨大，它能提供一个不可篡改和完全透明的数据记录系统。研究目的在于建立基于区块链信息系统，对于所有供应链参与者——从原材料供应商到最终用户——都可以实时跟踪产品的流通路径。这种透明度确保了对供应链中每一个环节的可持续性实践的监督和验证，从而促进了环境保护和社会责任，比如资源来源的合法性、监督童工的雇佣、污染物的排放等问题。区块链技术可以建立起一个去中心化的、不可篡改的交易记录，使得绿色能源金属的生产、加工和流通过程变得透明可追溯。这有助于企业和消费者了解产品的确切来源，从而提高对产品的信任度。透明度还能够降低供应链中的不法行为和欺诈，有助于保护企业的声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49"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预期取得的</w:t>
            </w:r>
          </w:p>
          <w:p>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本研究将开发</w:t>
            </w:r>
            <w:r>
              <w:rPr>
                <w:rFonts w:hint="eastAsia" w:eastAsia="仿宋"/>
                <w:kern w:val="0"/>
                <w:sz w:val="24"/>
              </w:rPr>
              <w:t>“</w:t>
            </w:r>
            <w:r>
              <w:rPr>
                <w:rFonts w:eastAsia="仿宋"/>
                <w:kern w:val="0"/>
                <w:sz w:val="24"/>
              </w:rPr>
              <w:t>基于区块链技术的绿色能源金属来源与生态多样性影响的可追溯与认证机制</w:t>
            </w:r>
            <w:r>
              <w:rPr>
                <w:rFonts w:hint="eastAsia" w:eastAsia="仿宋"/>
                <w:kern w:val="0"/>
                <w:sz w:val="24"/>
              </w:rPr>
              <w:t>”</w:t>
            </w:r>
            <w:r>
              <w:rPr>
                <w:rFonts w:eastAsia="仿宋"/>
                <w:kern w:val="0"/>
                <w:sz w:val="24"/>
              </w:rPr>
              <w:t>系统，具体的经济社会效益如下</w:t>
            </w:r>
            <w:r>
              <w:rPr>
                <w:rFonts w:hint="eastAsia" w:eastAsia="仿宋"/>
                <w:kern w:val="0"/>
                <w:sz w:val="24"/>
              </w:rPr>
              <w:t>：</w:t>
            </w:r>
          </w:p>
          <w:p>
            <w:pPr>
              <w:widowControl/>
              <w:adjustRightInd w:val="0"/>
              <w:snapToGrid w:val="0"/>
              <w:spacing w:line="400" w:lineRule="exact"/>
              <w:ind w:firstLine="480" w:firstLineChars="200"/>
              <w:rPr>
                <w:rFonts w:eastAsia="仿宋"/>
                <w:kern w:val="0"/>
                <w:sz w:val="24"/>
              </w:rPr>
            </w:pPr>
            <w:r>
              <w:rPr>
                <w:rFonts w:eastAsia="仿宋"/>
                <w:kern w:val="0"/>
                <w:sz w:val="24"/>
              </w:rPr>
              <w:t>1）提升供应链透明度与可追溯性：</w:t>
            </w:r>
          </w:p>
          <w:p>
            <w:pPr>
              <w:widowControl/>
              <w:adjustRightInd w:val="0"/>
              <w:snapToGrid w:val="0"/>
              <w:spacing w:line="400" w:lineRule="exact"/>
              <w:ind w:firstLine="480" w:firstLineChars="200"/>
              <w:rPr>
                <w:rFonts w:eastAsia="仿宋"/>
                <w:kern w:val="0"/>
                <w:sz w:val="24"/>
              </w:rPr>
            </w:pPr>
            <w:r>
              <w:rPr>
                <w:rFonts w:eastAsia="仿宋"/>
                <w:kern w:val="0"/>
                <w:sz w:val="24"/>
              </w:rPr>
              <w:t>透明的供应链有助于减少因供应链问题导致的业务中断和损失，提高生产效率，降低管理成本。</w:t>
            </w:r>
          </w:p>
          <w:p>
            <w:pPr>
              <w:widowControl/>
              <w:adjustRightInd w:val="0"/>
              <w:snapToGrid w:val="0"/>
              <w:spacing w:line="400" w:lineRule="exact"/>
              <w:ind w:firstLine="480" w:firstLineChars="200"/>
              <w:rPr>
                <w:rFonts w:eastAsia="仿宋"/>
                <w:kern w:val="0"/>
                <w:sz w:val="24"/>
              </w:rPr>
            </w:pPr>
            <w:r>
              <w:rPr>
                <w:rFonts w:eastAsia="仿宋"/>
                <w:kern w:val="0"/>
                <w:sz w:val="24"/>
              </w:rPr>
              <w:t>2）社会责任与环保形象提升：</w:t>
            </w:r>
          </w:p>
          <w:p>
            <w:pPr>
              <w:widowControl/>
              <w:adjustRightInd w:val="0"/>
              <w:snapToGrid w:val="0"/>
              <w:spacing w:line="400" w:lineRule="exact"/>
              <w:ind w:firstLine="480" w:firstLineChars="200"/>
              <w:rPr>
                <w:rFonts w:eastAsia="仿宋"/>
                <w:kern w:val="0"/>
                <w:sz w:val="24"/>
              </w:rPr>
            </w:pPr>
            <w:r>
              <w:rPr>
                <w:rFonts w:eastAsia="仿宋"/>
                <w:kern w:val="0"/>
                <w:sz w:val="24"/>
              </w:rPr>
              <w:t>区块链认证机制可以确保绿色能源金属的采集和生产过程符合环保标准和社会责任要求。企业通过强调其产品的绿色、可持续和社会责任属性，可以在市场中建立积极的品牌形象，吸引更多的消费者和投资者。 提升社会责任形象有助于吸引社会关注和支持，可能导致更多的合作伙伴关系和投资。</w:t>
            </w:r>
          </w:p>
          <w:p>
            <w:pPr>
              <w:widowControl/>
              <w:adjustRightInd w:val="0"/>
              <w:snapToGrid w:val="0"/>
              <w:spacing w:line="400" w:lineRule="exact"/>
              <w:ind w:firstLine="480" w:firstLineChars="200"/>
              <w:rPr>
                <w:rFonts w:eastAsia="仿宋"/>
                <w:kern w:val="0"/>
                <w:sz w:val="24"/>
              </w:rPr>
            </w:pPr>
            <w:r>
              <w:rPr>
                <w:rFonts w:eastAsia="仿宋"/>
                <w:kern w:val="0"/>
                <w:sz w:val="24"/>
              </w:rPr>
              <w:t>3）市场差异化与溢价收益：</w:t>
            </w:r>
          </w:p>
          <w:p>
            <w:pPr>
              <w:widowControl/>
              <w:adjustRightInd w:val="0"/>
              <w:snapToGrid w:val="0"/>
              <w:spacing w:line="400" w:lineRule="exact"/>
              <w:ind w:firstLine="480" w:firstLineChars="200"/>
              <w:rPr>
                <w:rFonts w:eastAsia="仿宋"/>
                <w:kern w:val="0"/>
                <w:sz w:val="24"/>
              </w:rPr>
            </w:pPr>
            <w:r>
              <w:rPr>
                <w:rFonts w:eastAsia="仿宋"/>
                <w:kern w:val="0"/>
                <w:sz w:val="24"/>
              </w:rPr>
              <w:t>区块链认证机制为企业提供了一种证明其产品质量和绿色属性的手段，使得其在市场上具有差异化的竞争优势。消费者越来越注重可持续性和环保，通过提供经过认证的绿色能源金属，企业有望吸引更多愿意为环保产品支付溢价的消费者。凭借认证的环保属性，企业有可能获得溢价收益，提高产品售价，从而增加盈利。</w:t>
            </w:r>
          </w:p>
          <w:p>
            <w:pPr>
              <w:widowControl/>
              <w:adjustRightInd w:val="0"/>
              <w:snapToGrid w:val="0"/>
              <w:spacing w:line="400" w:lineRule="exact"/>
              <w:ind w:firstLine="480" w:firstLineChars="200"/>
              <w:rPr>
                <w:rFonts w:eastAsia="方正仿宋简体"/>
                <w:kern w:val="0"/>
                <w:sz w:val="28"/>
                <w:szCs w:val="28"/>
              </w:rPr>
            </w:pPr>
            <w:r>
              <w:rPr>
                <w:rFonts w:eastAsia="仿宋"/>
                <w:kern w:val="0"/>
                <w:sz w:val="24"/>
              </w:rPr>
              <w:t>这些效益将有助于企业在经济和社会层面取得更为可观的收益，推动绿色、可持续和社会责任的发展。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1）技术实现与创新性：</w:t>
            </w:r>
          </w:p>
          <w:p>
            <w:pPr>
              <w:widowControl/>
              <w:adjustRightInd w:val="0"/>
              <w:snapToGrid w:val="0"/>
              <w:spacing w:line="400" w:lineRule="exact"/>
              <w:ind w:firstLine="480" w:firstLineChars="200"/>
              <w:rPr>
                <w:rFonts w:eastAsia="仿宋"/>
                <w:kern w:val="0"/>
                <w:sz w:val="24"/>
              </w:rPr>
            </w:pPr>
            <w:r>
              <w:rPr>
                <w:rFonts w:eastAsia="仿宋"/>
                <w:kern w:val="0"/>
                <w:sz w:val="24"/>
              </w:rPr>
              <w:t>要求：详细阐述区块链技术如何应用于绿色能源金属来源的追溯与认证。特别强调技术方案的创新性和实用性。</w:t>
            </w:r>
          </w:p>
          <w:p>
            <w:pPr>
              <w:widowControl/>
              <w:adjustRightInd w:val="0"/>
              <w:snapToGrid w:val="0"/>
              <w:spacing w:line="400" w:lineRule="exact"/>
              <w:ind w:firstLine="480" w:firstLineChars="200"/>
              <w:rPr>
                <w:rFonts w:eastAsia="仿宋"/>
                <w:kern w:val="0"/>
                <w:sz w:val="24"/>
              </w:rPr>
            </w:pPr>
            <w:r>
              <w:rPr>
                <w:rFonts w:eastAsia="仿宋"/>
                <w:kern w:val="0"/>
                <w:sz w:val="24"/>
              </w:rPr>
              <w:t>评选标准：原创性、技术的先进性、实用性。</w:t>
            </w:r>
          </w:p>
          <w:p>
            <w:pPr>
              <w:widowControl/>
              <w:adjustRightInd w:val="0"/>
              <w:snapToGrid w:val="0"/>
              <w:spacing w:line="400" w:lineRule="exact"/>
              <w:ind w:firstLine="480" w:firstLineChars="200"/>
              <w:rPr>
                <w:rFonts w:eastAsia="仿宋"/>
                <w:kern w:val="0"/>
                <w:sz w:val="24"/>
              </w:rPr>
            </w:pPr>
            <w:r>
              <w:rPr>
                <w:rFonts w:eastAsia="仿宋"/>
                <w:kern w:val="0"/>
                <w:sz w:val="24"/>
              </w:rPr>
              <w:t>2）方案的可行性与经济效益：</w:t>
            </w:r>
          </w:p>
          <w:p>
            <w:pPr>
              <w:widowControl/>
              <w:adjustRightInd w:val="0"/>
              <w:snapToGrid w:val="0"/>
              <w:spacing w:line="400" w:lineRule="exact"/>
              <w:ind w:firstLine="480" w:firstLineChars="200"/>
              <w:rPr>
                <w:rFonts w:eastAsia="仿宋"/>
                <w:kern w:val="0"/>
                <w:sz w:val="24"/>
              </w:rPr>
            </w:pPr>
            <w:r>
              <w:rPr>
                <w:rFonts w:eastAsia="仿宋"/>
                <w:kern w:val="0"/>
                <w:sz w:val="24"/>
              </w:rPr>
              <w:t>要求：提供详细的市场分析，包括目标市场、潜在客户、竞争分析以及预期的经济效益。</w:t>
            </w:r>
          </w:p>
          <w:p>
            <w:pPr>
              <w:widowControl/>
              <w:adjustRightInd w:val="0"/>
              <w:snapToGrid w:val="0"/>
              <w:spacing w:line="400" w:lineRule="exact"/>
              <w:ind w:firstLine="480" w:firstLineChars="200"/>
              <w:rPr>
                <w:rFonts w:eastAsia="仿宋"/>
                <w:kern w:val="0"/>
                <w:sz w:val="24"/>
              </w:rPr>
            </w:pPr>
            <w:r>
              <w:rPr>
                <w:rFonts w:eastAsia="仿宋"/>
                <w:kern w:val="0"/>
                <w:sz w:val="24"/>
              </w:rPr>
              <w:t>评选标准：市场分析的全面性、方案的商业可行性。</w:t>
            </w:r>
          </w:p>
          <w:p>
            <w:pPr>
              <w:widowControl/>
              <w:adjustRightInd w:val="0"/>
              <w:snapToGrid w:val="0"/>
              <w:spacing w:line="400" w:lineRule="exact"/>
              <w:ind w:firstLine="480" w:firstLineChars="200"/>
              <w:rPr>
                <w:rFonts w:eastAsia="仿宋"/>
                <w:kern w:val="0"/>
                <w:sz w:val="24"/>
              </w:rPr>
            </w:pPr>
            <w:r>
              <w:rPr>
                <w:rFonts w:eastAsia="仿宋"/>
                <w:kern w:val="0"/>
                <w:sz w:val="24"/>
              </w:rPr>
              <w:t>3）环境影响与社会责任：</w:t>
            </w:r>
          </w:p>
          <w:p>
            <w:pPr>
              <w:widowControl/>
              <w:adjustRightInd w:val="0"/>
              <w:snapToGrid w:val="0"/>
              <w:spacing w:line="400" w:lineRule="exact"/>
              <w:ind w:firstLine="480" w:firstLineChars="200"/>
              <w:rPr>
                <w:rFonts w:eastAsia="仿宋"/>
                <w:kern w:val="0"/>
                <w:sz w:val="24"/>
              </w:rPr>
            </w:pPr>
            <w:r>
              <w:rPr>
                <w:rFonts w:eastAsia="仿宋"/>
                <w:kern w:val="0"/>
                <w:sz w:val="24"/>
              </w:rPr>
              <w:t>要求：分析该项目对环境的正面影响，包括减少资源浪费、促进可持续发展等方面，并考虑社会责任的履行。</w:t>
            </w:r>
          </w:p>
          <w:p>
            <w:pPr>
              <w:widowControl/>
              <w:adjustRightInd w:val="0"/>
              <w:snapToGrid w:val="0"/>
              <w:spacing w:line="400" w:lineRule="exact"/>
              <w:ind w:firstLine="480" w:firstLineChars="200"/>
              <w:rPr>
                <w:rFonts w:eastAsia="仿宋"/>
                <w:kern w:val="0"/>
                <w:sz w:val="24"/>
              </w:rPr>
            </w:pPr>
            <w:r>
              <w:rPr>
                <w:rFonts w:eastAsia="仿宋"/>
                <w:kern w:val="0"/>
                <w:sz w:val="24"/>
              </w:rPr>
              <w:t>评选标准：对环境的积极影响、社会责任感。</w:t>
            </w:r>
          </w:p>
          <w:p>
            <w:pPr>
              <w:widowControl/>
              <w:adjustRightInd w:val="0"/>
              <w:snapToGrid w:val="0"/>
              <w:spacing w:line="400" w:lineRule="exact"/>
              <w:ind w:firstLine="480" w:firstLineChars="200"/>
              <w:rPr>
                <w:rFonts w:eastAsia="仿宋"/>
                <w:kern w:val="0"/>
                <w:sz w:val="24"/>
              </w:rPr>
            </w:pPr>
            <w:r>
              <w:rPr>
                <w:rFonts w:eastAsia="仿宋"/>
                <w:kern w:val="0"/>
                <w:sz w:val="24"/>
              </w:rPr>
              <w:t>4）作品提交格式与内容：</w:t>
            </w:r>
          </w:p>
          <w:p>
            <w:pPr>
              <w:widowControl/>
              <w:adjustRightInd w:val="0"/>
              <w:snapToGrid w:val="0"/>
              <w:spacing w:line="400" w:lineRule="exact"/>
              <w:ind w:firstLine="480" w:firstLineChars="200"/>
              <w:rPr>
                <w:rFonts w:eastAsia="仿宋"/>
                <w:kern w:val="0"/>
                <w:sz w:val="24"/>
              </w:rPr>
            </w:pPr>
            <w:r>
              <w:rPr>
                <w:rFonts w:eastAsia="仿宋"/>
                <w:kern w:val="0"/>
                <w:sz w:val="24"/>
              </w:rPr>
              <w:t>要求：提交的作品需包括详细的项目报告、商业计划书和任何相关的技术文档。报告需要清晰、逻辑性强，且包含所有相关数据和图表。</w:t>
            </w:r>
          </w:p>
          <w:p>
            <w:pPr>
              <w:widowControl/>
              <w:adjustRightInd w:val="0"/>
              <w:snapToGrid w:val="0"/>
              <w:spacing w:line="400" w:lineRule="exact"/>
              <w:ind w:firstLine="480" w:firstLineChars="200"/>
              <w:rPr>
                <w:rFonts w:eastAsia="仿宋"/>
                <w:kern w:val="0"/>
                <w:sz w:val="24"/>
              </w:rPr>
            </w:pPr>
            <w:r>
              <w:rPr>
                <w:rFonts w:eastAsia="仿宋"/>
                <w:kern w:val="0"/>
                <w:sz w:val="24"/>
              </w:rPr>
              <w:t>评选标准：报告的完整性、清晰度和专业性。</w:t>
            </w:r>
          </w:p>
          <w:p>
            <w:pPr>
              <w:widowControl/>
              <w:adjustRightInd w:val="0"/>
              <w:snapToGrid w:val="0"/>
              <w:spacing w:line="400" w:lineRule="exact"/>
              <w:ind w:firstLine="480" w:firstLineChars="200"/>
              <w:rPr>
                <w:rFonts w:eastAsia="仿宋"/>
                <w:kern w:val="0"/>
                <w:sz w:val="24"/>
              </w:rPr>
            </w:pPr>
            <w:r>
              <w:rPr>
                <w:rFonts w:eastAsia="仿宋"/>
                <w:kern w:val="0"/>
                <w:sz w:val="24"/>
              </w:rPr>
              <w:t>5）展示与沟通能力：</w:t>
            </w:r>
          </w:p>
          <w:p>
            <w:pPr>
              <w:widowControl/>
              <w:adjustRightInd w:val="0"/>
              <w:snapToGrid w:val="0"/>
              <w:spacing w:line="400" w:lineRule="exact"/>
              <w:ind w:firstLine="480" w:firstLineChars="200"/>
              <w:rPr>
                <w:rFonts w:eastAsia="仿宋"/>
                <w:kern w:val="0"/>
                <w:sz w:val="24"/>
              </w:rPr>
            </w:pPr>
            <w:r>
              <w:rPr>
                <w:rFonts w:eastAsia="仿宋"/>
                <w:kern w:val="0"/>
                <w:sz w:val="24"/>
              </w:rPr>
              <w:t>要求：准备一份展示文稿，用于竞赛当天的口头陈述。重点是清晰地传达项目的核心价值和创新点。</w:t>
            </w:r>
          </w:p>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kern w:val="0"/>
                <w:sz w:val="24"/>
              </w:rPr>
              <w:t>评选标准：展示的清晰性、沟通能力</w:t>
            </w:r>
            <w:r>
              <w:rPr>
                <w:rFonts w:hint="eastAsia" w:eastAsia="仿宋"/>
                <w:kern w:val="0"/>
                <w:sz w:val="24"/>
              </w:rPr>
              <w:t>，以及</w:t>
            </w:r>
            <w:r>
              <w:rPr>
                <w:rFonts w:eastAsia="仿宋"/>
                <w:kern w:val="0"/>
                <w:sz w:val="24"/>
              </w:rPr>
              <w:t>能否准确有效地回应评委的提问。</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1）行业知识与最新趋势分享：工程师分享ICT行业与区块链技术的结合趋势，特别是在绿色能源和可持续发展领域的应用。提供行业报告、案例研究以及先进的技术动态，帮助学生了解当前市场和技术的前沿动态。</w:t>
            </w:r>
          </w:p>
          <w:p>
            <w:pPr>
              <w:widowControl/>
              <w:adjustRightInd w:val="0"/>
              <w:snapToGrid w:val="0"/>
              <w:spacing w:line="400" w:lineRule="exact"/>
              <w:ind w:firstLine="480" w:firstLineChars="200"/>
              <w:rPr>
                <w:rFonts w:eastAsia="仿宋"/>
                <w:kern w:val="0"/>
                <w:sz w:val="24"/>
              </w:rPr>
            </w:pPr>
            <w:r>
              <w:rPr>
                <w:rFonts w:eastAsia="仿宋"/>
                <w:kern w:val="0"/>
                <w:sz w:val="24"/>
              </w:rPr>
              <w:t>2）技术培训和资源支持：提供技术层面的培训和支持，例如区块链技术的工作原理、智能合约的设计与部署，以及数据加密和安全性方面的知识。同时，提供部分企业资源（如软件工具、专业顾问等）支持他们的项目。</w:t>
            </w:r>
          </w:p>
          <w:p>
            <w:pPr>
              <w:widowControl/>
              <w:adjustRightInd w:val="0"/>
              <w:snapToGrid w:val="0"/>
              <w:spacing w:line="400" w:lineRule="exact"/>
              <w:ind w:firstLine="480" w:firstLineChars="200"/>
              <w:rPr>
                <w:rFonts w:eastAsia="仿宋"/>
                <w:kern w:val="0"/>
                <w:sz w:val="24"/>
              </w:rPr>
            </w:pPr>
            <w:r>
              <w:rPr>
                <w:rFonts w:eastAsia="仿宋"/>
                <w:kern w:val="0"/>
                <w:sz w:val="24"/>
              </w:rPr>
              <w:t>3）商业模式和项目管理指导：指导学生构建一个可行的商业模式，包括市场分析、商业策略、盈利模式等。同时，教授他们项目管理的基本技能，如时间管理、团队协作、风险评估等。</w:t>
            </w:r>
          </w:p>
          <w:p>
            <w:pPr>
              <w:widowControl/>
              <w:adjustRightInd w:val="0"/>
              <w:snapToGrid w:val="0"/>
              <w:spacing w:line="400" w:lineRule="exact"/>
              <w:ind w:firstLine="480" w:firstLineChars="200"/>
              <w:rPr>
                <w:rFonts w:eastAsia="仿宋"/>
                <w:kern w:val="0"/>
                <w:sz w:val="24"/>
              </w:rPr>
            </w:pPr>
            <w:r>
              <w:rPr>
                <w:rFonts w:eastAsia="仿宋"/>
                <w:kern w:val="0"/>
                <w:sz w:val="24"/>
              </w:rPr>
              <w:t>4）行业网络构建：帮助学生建立与行业专家、潜在投资者、合作伙伴的联系。</w:t>
            </w:r>
          </w:p>
          <w:p>
            <w:pPr>
              <w:widowControl/>
              <w:adjustRightInd w:val="0"/>
              <w:snapToGrid w:val="0"/>
              <w:spacing w:line="400" w:lineRule="exact"/>
              <w:ind w:firstLine="480" w:firstLineChars="200"/>
              <w:rPr>
                <w:rFonts w:eastAsia="仿宋"/>
                <w:kern w:val="0"/>
                <w:sz w:val="24"/>
              </w:rPr>
            </w:pPr>
            <w:r>
              <w:rPr>
                <w:rFonts w:eastAsia="仿宋"/>
                <w:kern w:val="0"/>
                <w:sz w:val="24"/>
              </w:rPr>
              <w:t xml:space="preserve">5）可持续性与伦理指导：在绿色能源和可持续发展的背景下，对学生进行可持续性和伦理方面的指导。让他们理解其项目对环境和社会的长远影响，并在设计中融入这些考虑。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1）资金支持与奖学金：根据排名情况，为部分获奖团队提供一定资金支持，用于进一步研发项目。</w:t>
            </w:r>
          </w:p>
          <w:p>
            <w:pPr>
              <w:widowControl/>
              <w:adjustRightInd w:val="0"/>
              <w:snapToGrid w:val="0"/>
              <w:spacing w:line="400" w:lineRule="exact"/>
              <w:ind w:firstLine="480" w:firstLineChars="200"/>
              <w:rPr>
                <w:rFonts w:eastAsia="仿宋"/>
                <w:kern w:val="0"/>
                <w:sz w:val="24"/>
              </w:rPr>
            </w:pPr>
            <w:r>
              <w:rPr>
                <w:rFonts w:eastAsia="仿宋"/>
                <w:kern w:val="0"/>
                <w:sz w:val="24"/>
              </w:rPr>
              <w:t>2）实习或工作机会：提供实习或工作机会，让学生学习更多实践知识，并将他们的理念转化为实际应用。</w:t>
            </w:r>
          </w:p>
          <w:p>
            <w:pPr>
              <w:widowControl/>
              <w:adjustRightInd w:val="0"/>
              <w:snapToGrid w:val="0"/>
              <w:spacing w:line="400" w:lineRule="exact"/>
              <w:ind w:firstLine="480" w:firstLineChars="200"/>
              <w:rPr>
                <w:rFonts w:eastAsia="仿宋"/>
                <w:kern w:val="0"/>
                <w:sz w:val="24"/>
              </w:rPr>
            </w:pPr>
            <w:r>
              <w:rPr>
                <w:rFonts w:eastAsia="仿宋"/>
                <w:kern w:val="0"/>
                <w:sz w:val="24"/>
              </w:rPr>
              <w:t>3）技术资源和设施使用：允许获奖团队使用公司的技术资源和设施，如服务器、软件许可证和实验室设备，以促进他们的研究和开发工作。</w:t>
            </w:r>
          </w:p>
          <w:p>
            <w:pPr>
              <w:widowControl/>
              <w:adjustRightInd w:val="0"/>
              <w:snapToGrid w:val="0"/>
              <w:spacing w:line="400" w:lineRule="exact"/>
              <w:ind w:firstLine="480" w:firstLineChars="200"/>
              <w:rPr>
                <w:rFonts w:eastAsia="仿宋"/>
                <w:kern w:val="0"/>
                <w:sz w:val="24"/>
              </w:rPr>
            </w:pPr>
            <w:r>
              <w:rPr>
                <w:rFonts w:eastAsia="仿宋"/>
                <w:kern w:val="0"/>
                <w:sz w:val="24"/>
              </w:rPr>
              <w:t>4）市场与行业接触机会：为获奖团队提供参与行业会议、展览和网络活动的机会，帮助他们建立行业联系，增加项目的曝光度和影响力。</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-10</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31"/>
        <w:gridCol w:w="161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 xml:space="preserve">北京吉比信科技有限公司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北京市海淀区杏石口路甲23号3号楼1层1181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kern w:val="0"/>
                <w:sz w:val="24"/>
              </w:rPr>
              <w:t>北京吉比信科技有限公司致力专注于云网安全领域的高科技创新企业，主要为客户提供具有个性定制的数据安全、网络安全，人工智能等业务。在政府、航空、互联网、医疗、教育、气象、体育等众多领域，为客户提供技术服务。注册资本：200万、公司性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rPr>
            </w:pPr>
            <w:r>
              <w:rPr>
                <w:rFonts w:eastAsia="楷体"/>
                <w:kern w:val="0"/>
                <w:sz w:val="28"/>
                <w:szCs w:val="32"/>
              </w:rPr>
              <w:t>联系人</w:t>
            </w:r>
          </w:p>
        </w:tc>
        <w:tc>
          <w:tcPr>
            <w:tcW w:w="2531" w:type="dxa"/>
            <w:vAlign w:val="center"/>
          </w:tcPr>
          <w:p>
            <w:pPr>
              <w:widowControl/>
              <w:adjustRightInd w:val="0"/>
              <w:snapToGrid w:val="0"/>
              <w:jc w:val="center"/>
              <w:rPr>
                <w:rFonts w:eastAsia="仿宋"/>
                <w:bCs/>
                <w:spacing w:val="6"/>
                <w:kern w:val="0"/>
                <w:sz w:val="24"/>
                <w:szCs w:val="28"/>
              </w:rPr>
            </w:pPr>
            <w:r>
              <w:rPr>
                <w:rFonts w:eastAsia="仿宋"/>
                <w:kern w:val="0"/>
                <w:sz w:val="24"/>
              </w:rPr>
              <w:t>夏老师</w:t>
            </w:r>
          </w:p>
        </w:tc>
        <w:tc>
          <w:tcPr>
            <w:tcW w:w="1618"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方正仿宋简体"/>
                <w:kern w:val="0"/>
                <w:sz w:val="24"/>
              </w:rPr>
            </w:pPr>
            <w:r>
              <w:rPr>
                <w:rFonts w:eastAsia="仿宋"/>
                <w:kern w:val="0"/>
                <w:sz w:val="24"/>
              </w:rPr>
              <w:t>13811270990</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7"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rPr>
            </w:pPr>
            <w:r>
              <w:rPr>
                <w:rFonts w:eastAsia="仿宋"/>
                <w:kern w:val="0"/>
                <w:sz w:val="24"/>
              </w:rPr>
              <w:t>基于大语言模型（LLM）与生成式人工智能的企业绿色专利技术支持系统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pPr>
              <w:widowControl/>
              <w:adjustRightInd w:val="0"/>
              <w:jc w:val="center"/>
              <w:rPr>
                <w:rFonts w:eastAsia="方正仿宋简体"/>
                <w:kern w:val="0"/>
                <w:sz w:val="24"/>
              </w:rPr>
            </w:pPr>
            <w:r>
              <w:rPr>
                <w:rFonts w:eastAsia="仿宋"/>
                <w:kern w:val="0"/>
                <w:sz w:val="24"/>
              </w:rPr>
              <w:t>生成式人工智能、自然语言处理、数据挖掘、信息系统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在我国生态文明建设与持续稳妥推进</w:t>
            </w:r>
            <w:r>
              <w:rPr>
                <w:rFonts w:hint="eastAsia" w:eastAsia="仿宋"/>
                <w:kern w:val="0"/>
                <w:sz w:val="24"/>
              </w:rPr>
              <w:t>“</w:t>
            </w:r>
            <w:r>
              <w:rPr>
                <w:rFonts w:eastAsia="仿宋"/>
                <w:kern w:val="0"/>
                <w:sz w:val="24"/>
              </w:rPr>
              <w:t>双碳</w:t>
            </w:r>
            <w:r>
              <w:rPr>
                <w:rFonts w:hint="eastAsia" w:eastAsia="仿宋"/>
                <w:kern w:val="0"/>
                <w:sz w:val="24"/>
              </w:rPr>
              <w:t>”</w:t>
            </w:r>
            <w:r>
              <w:rPr>
                <w:rFonts w:eastAsia="仿宋"/>
                <w:kern w:val="0"/>
                <w:sz w:val="24"/>
              </w:rPr>
              <w:t>目标背景下，绿色技术创新蓬勃发展，准确预测未来技术演进路径、特征与趋势，开展创新研发与专利布局对于企业与行业发展至关重要。本项目拟采用人工智能与专利挖掘方法预测绿色技术和趋势。通过深入分析专利格局，辅助产业相关者制定战略性决策，并预测不断进化的绿色能源技术格局。</w:t>
            </w:r>
          </w:p>
          <w:p>
            <w:pPr>
              <w:widowControl/>
              <w:adjustRightInd w:val="0"/>
              <w:snapToGrid w:val="0"/>
              <w:spacing w:line="400" w:lineRule="exact"/>
              <w:ind w:firstLine="480" w:firstLineChars="200"/>
              <w:rPr>
                <w:rFonts w:eastAsia="仿宋"/>
                <w:kern w:val="0"/>
                <w:sz w:val="24"/>
              </w:rPr>
            </w:pPr>
            <w:r>
              <w:rPr>
                <w:rFonts w:eastAsia="仿宋"/>
                <w:kern w:val="0"/>
                <w:sz w:val="24"/>
              </w:rPr>
              <w:t>本研究将专利技术分析与大数据预测模型相结合。具体地，通过整合专利数据、市场数据和环境变化数据，构建一个综合的预测模型。利用深度学习算法，模型能够不断学习和适应新的数据，提高预测的准确性。</w:t>
            </w:r>
          </w:p>
          <w:p>
            <w:pPr>
              <w:widowControl/>
              <w:adjustRightInd w:val="0"/>
              <w:snapToGrid w:val="0"/>
              <w:spacing w:line="400" w:lineRule="exact"/>
              <w:ind w:firstLine="480" w:firstLineChars="200"/>
              <w:rPr>
                <w:rFonts w:eastAsia="仿宋"/>
                <w:kern w:val="0"/>
                <w:sz w:val="24"/>
              </w:rPr>
            </w:pPr>
            <w:r>
              <w:rPr>
                <w:rFonts w:eastAsia="仿宋"/>
                <w:kern w:val="0"/>
                <w:sz w:val="24"/>
              </w:rPr>
              <w:t>为提高用户体验和决策效率，开发一个基于自然语言交互的用户界面。该系统结合大语言模型与生成式人工智能，通过系统界面，用户可以用自然语言查询特定的技术领域或趋势，系统将根据用户的需求提供个性化的分析报告和建议。这种动态、交互式的分析方法，不仅使技术预测更加直观和便捷，而且更贴合用户的具体需求。</w:t>
            </w:r>
          </w:p>
          <w:p>
            <w:pPr>
              <w:widowControl/>
              <w:adjustRightInd w:val="0"/>
              <w:snapToGrid w:val="0"/>
              <w:spacing w:line="400" w:lineRule="exact"/>
              <w:ind w:firstLine="480" w:firstLineChars="200"/>
              <w:rPr>
                <w:rFonts w:eastAsia="仿宋"/>
                <w:kern w:val="0"/>
                <w:sz w:val="24"/>
              </w:rPr>
            </w:pPr>
            <w:r>
              <w:rPr>
                <w:rFonts w:eastAsia="仿宋"/>
                <w:kern w:val="0"/>
                <w:sz w:val="24"/>
              </w:rPr>
              <w:t>总体而言，通过综合利用专利分析、大数据、自然语言处理和机器学习技术，研究旨在为绿色技术的发展提供全面、深入、动态的预测和分析。这不仅有助于行业利益相关者更好地理解市场和技术趋势，还能支持他们做出更可靠和有效的战略决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预期取得的</w:t>
            </w:r>
          </w:p>
          <w:p>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开发基于LLM和生成式人工智能的企业绿色专利技术支持系统，具体的经济社会效益如下</w:t>
            </w:r>
            <w:r>
              <w:rPr>
                <w:rFonts w:hint="eastAsia" w:eastAsia="仿宋"/>
                <w:kern w:val="0"/>
                <w:sz w:val="24"/>
              </w:rPr>
              <w:t>：</w:t>
            </w:r>
          </w:p>
          <w:p>
            <w:pPr>
              <w:widowControl/>
              <w:adjustRightInd w:val="0"/>
              <w:snapToGrid w:val="0"/>
              <w:spacing w:line="400" w:lineRule="exact"/>
              <w:ind w:firstLine="480" w:firstLineChars="200"/>
              <w:rPr>
                <w:rFonts w:eastAsia="仿宋"/>
                <w:kern w:val="0"/>
                <w:sz w:val="24"/>
              </w:rPr>
            </w:pPr>
            <w:r>
              <w:rPr>
                <w:rFonts w:eastAsia="仿宋"/>
                <w:kern w:val="0"/>
                <w:sz w:val="24"/>
              </w:rPr>
              <w:t>1）提升专利审查速度：</w:t>
            </w:r>
          </w:p>
          <w:p>
            <w:pPr>
              <w:widowControl/>
              <w:adjustRightInd w:val="0"/>
              <w:snapToGrid w:val="0"/>
              <w:spacing w:line="400" w:lineRule="exact"/>
              <w:ind w:firstLine="480" w:firstLineChars="200"/>
              <w:rPr>
                <w:rFonts w:eastAsia="仿宋"/>
                <w:kern w:val="0"/>
                <w:sz w:val="24"/>
              </w:rPr>
            </w:pPr>
            <w:r>
              <w:rPr>
                <w:rFonts w:eastAsia="仿宋"/>
                <w:kern w:val="0"/>
                <w:sz w:val="24"/>
              </w:rPr>
              <w:t>基于LLM的系统能够自动分析和整理海量的专利文献，有效支持专利审查团队。通过提高审查效率，系统可以减少专利申请的等待时间，从而降低企业因等待审查而导致的时间成本和机会成本。</w:t>
            </w:r>
          </w:p>
          <w:p>
            <w:pPr>
              <w:widowControl/>
              <w:adjustRightInd w:val="0"/>
              <w:snapToGrid w:val="0"/>
              <w:spacing w:line="400" w:lineRule="exact"/>
              <w:ind w:firstLine="480" w:firstLineChars="200"/>
              <w:rPr>
                <w:rFonts w:eastAsia="仿宋"/>
                <w:kern w:val="0"/>
                <w:sz w:val="24"/>
              </w:rPr>
            </w:pPr>
            <w:r>
              <w:rPr>
                <w:rFonts w:eastAsia="仿宋"/>
                <w:kern w:val="0"/>
                <w:sz w:val="24"/>
              </w:rPr>
              <w:t>2）帮助企业捕捉技术创新导向的市场机遇</w:t>
            </w:r>
          </w:p>
          <w:p>
            <w:pPr>
              <w:widowControl/>
              <w:adjustRightInd w:val="0"/>
              <w:snapToGrid w:val="0"/>
              <w:spacing w:line="400" w:lineRule="exact"/>
              <w:ind w:firstLine="480" w:firstLineChars="200"/>
              <w:rPr>
                <w:rFonts w:eastAsia="仿宋"/>
                <w:kern w:val="0"/>
                <w:sz w:val="24"/>
              </w:rPr>
            </w:pPr>
            <w:r>
              <w:rPr>
                <w:rFonts w:eastAsia="仿宋"/>
                <w:kern w:val="0"/>
                <w:sz w:val="24"/>
              </w:rPr>
              <w:t xml:space="preserve">系统通过LLM技术深度挖掘技术文献和专利信息，帮助企业发现新的技术创新和市场机会。可以促使企业更迅速地投入相关领域的研发，抢占市场先机，增加销售额和市场份额。 </w:t>
            </w:r>
          </w:p>
          <w:p>
            <w:pPr>
              <w:widowControl/>
              <w:adjustRightInd w:val="0"/>
              <w:snapToGrid w:val="0"/>
              <w:spacing w:line="400" w:lineRule="exact"/>
              <w:ind w:firstLine="480" w:firstLineChars="200"/>
              <w:rPr>
                <w:rFonts w:eastAsia="仿宋"/>
                <w:kern w:val="0"/>
                <w:sz w:val="24"/>
              </w:rPr>
            </w:pPr>
            <w:r>
              <w:rPr>
                <w:rFonts w:eastAsia="仿宋"/>
                <w:kern w:val="0"/>
                <w:sz w:val="24"/>
              </w:rPr>
              <w:t>3</w:t>
            </w:r>
            <w:r>
              <w:rPr>
                <w:rFonts w:hint="eastAsia" w:eastAsia="仿宋"/>
                <w:kern w:val="0"/>
                <w:sz w:val="24"/>
              </w:rPr>
              <w:t>）</w:t>
            </w:r>
            <w:r>
              <w:rPr>
                <w:rFonts w:eastAsia="仿宋"/>
                <w:kern w:val="0"/>
                <w:sz w:val="24"/>
              </w:rPr>
              <w:t>提升企业环境、社会和公司治理（ESG）形象：</w:t>
            </w:r>
          </w:p>
          <w:p>
            <w:pPr>
              <w:widowControl/>
              <w:adjustRightInd w:val="0"/>
              <w:snapToGrid w:val="0"/>
              <w:spacing w:line="400" w:lineRule="exact"/>
              <w:ind w:firstLine="480" w:firstLineChars="200"/>
              <w:rPr>
                <w:rFonts w:eastAsia="仿宋"/>
                <w:kern w:val="0"/>
                <w:sz w:val="24"/>
              </w:rPr>
            </w:pPr>
            <w:r>
              <w:rPr>
                <w:rFonts w:eastAsia="仿宋"/>
                <w:kern w:val="0"/>
                <w:sz w:val="24"/>
              </w:rPr>
              <w:t>通过系统的帮助，企业能够构建更加健全的绿色专利组合，展现其在环保和可持续发展方面的承诺。这将有助于提升企业的社会形象，增强消费者和投资者对企业的信任度，可能带来更多的客户和投资。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1）创新性与技术实现：</w:t>
            </w:r>
          </w:p>
          <w:p>
            <w:pPr>
              <w:widowControl/>
              <w:adjustRightInd w:val="0"/>
              <w:snapToGrid w:val="0"/>
              <w:spacing w:line="400" w:lineRule="exact"/>
              <w:ind w:firstLine="480" w:firstLineChars="200"/>
              <w:rPr>
                <w:rFonts w:eastAsia="仿宋"/>
                <w:kern w:val="0"/>
                <w:sz w:val="24"/>
              </w:rPr>
            </w:pPr>
            <w:r>
              <w:rPr>
                <w:rFonts w:eastAsia="仿宋"/>
                <w:kern w:val="0"/>
                <w:sz w:val="24"/>
              </w:rPr>
              <w:t>要求作品在技术层面展现创新性，特别是在大语言模型（LLM）和生成式人工智能的应用上。提交方案应详细阐述技术实现的可行性和潜在的技术挑战及解决方案。</w:t>
            </w:r>
          </w:p>
          <w:p>
            <w:pPr>
              <w:widowControl/>
              <w:adjustRightInd w:val="0"/>
              <w:snapToGrid w:val="0"/>
              <w:spacing w:line="400" w:lineRule="exact"/>
              <w:ind w:firstLine="480" w:firstLineChars="200"/>
              <w:rPr>
                <w:rFonts w:eastAsia="仿宋"/>
                <w:kern w:val="0"/>
                <w:sz w:val="24"/>
              </w:rPr>
            </w:pPr>
            <w:r>
              <w:rPr>
                <w:rFonts w:eastAsia="仿宋"/>
                <w:kern w:val="0"/>
                <w:sz w:val="24"/>
              </w:rPr>
              <w:t>2）绿色专利技术的应用价值：</w:t>
            </w:r>
          </w:p>
          <w:p>
            <w:pPr>
              <w:widowControl/>
              <w:adjustRightInd w:val="0"/>
              <w:snapToGrid w:val="0"/>
              <w:spacing w:line="400" w:lineRule="exact"/>
              <w:ind w:firstLine="480" w:firstLineChars="200"/>
              <w:rPr>
                <w:rFonts w:eastAsia="仿宋"/>
                <w:kern w:val="0"/>
                <w:sz w:val="24"/>
              </w:rPr>
            </w:pPr>
            <w:r>
              <w:rPr>
                <w:rFonts w:eastAsia="仿宋"/>
                <w:kern w:val="0"/>
                <w:sz w:val="24"/>
              </w:rPr>
              <w:t>作品需突出其在促进企业绿色专利技术方面的实际应用价值。应包括对潜在市场需求的分析及如何有效解决现有问题的说明。</w:t>
            </w:r>
          </w:p>
          <w:p>
            <w:pPr>
              <w:widowControl/>
              <w:adjustRightInd w:val="0"/>
              <w:snapToGrid w:val="0"/>
              <w:spacing w:line="400" w:lineRule="exact"/>
              <w:ind w:firstLine="480" w:firstLineChars="200"/>
              <w:rPr>
                <w:rFonts w:eastAsia="仿宋"/>
                <w:kern w:val="0"/>
                <w:sz w:val="24"/>
              </w:rPr>
            </w:pPr>
            <w:r>
              <w:rPr>
                <w:rFonts w:eastAsia="仿宋"/>
                <w:kern w:val="0"/>
                <w:sz w:val="24"/>
              </w:rPr>
              <w:t>3）商业模式与市场策略：</w:t>
            </w:r>
          </w:p>
          <w:p>
            <w:pPr>
              <w:widowControl/>
              <w:adjustRightInd w:val="0"/>
              <w:snapToGrid w:val="0"/>
              <w:spacing w:line="400" w:lineRule="exact"/>
              <w:ind w:firstLine="480" w:firstLineChars="200"/>
              <w:rPr>
                <w:rFonts w:eastAsia="仿宋"/>
                <w:kern w:val="0"/>
                <w:sz w:val="24"/>
              </w:rPr>
            </w:pPr>
            <w:r>
              <w:rPr>
                <w:rFonts w:eastAsia="仿宋"/>
                <w:kern w:val="0"/>
                <w:sz w:val="24"/>
              </w:rPr>
              <w:t>要求提供清晰的商业模式描述，包括但不限于盈利模式、市场定位和目标用户。需要包含市场推广策略和潜在风险评估。</w:t>
            </w:r>
          </w:p>
          <w:p>
            <w:pPr>
              <w:widowControl/>
              <w:adjustRightInd w:val="0"/>
              <w:snapToGrid w:val="0"/>
              <w:spacing w:line="400" w:lineRule="exact"/>
              <w:ind w:firstLine="480" w:firstLineChars="200"/>
              <w:rPr>
                <w:rFonts w:eastAsia="仿宋"/>
                <w:kern w:val="0"/>
                <w:sz w:val="24"/>
              </w:rPr>
            </w:pPr>
            <w:r>
              <w:rPr>
                <w:rFonts w:eastAsia="仿宋"/>
                <w:kern w:val="0"/>
                <w:sz w:val="24"/>
              </w:rPr>
              <w:t>4）提交的形式与时间：</w:t>
            </w:r>
          </w:p>
          <w:p>
            <w:pPr>
              <w:widowControl/>
              <w:adjustRightInd w:val="0"/>
              <w:snapToGrid w:val="0"/>
              <w:spacing w:line="400" w:lineRule="exact"/>
              <w:ind w:firstLine="480" w:firstLineChars="200"/>
              <w:rPr>
                <w:rFonts w:eastAsia="仿宋"/>
                <w:kern w:val="0"/>
                <w:sz w:val="24"/>
              </w:rPr>
            </w:pPr>
            <w:r>
              <w:rPr>
                <w:rFonts w:eastAsia="仿宋"/>
                <w:kern w:val="0"/>
                <w:sz w:val="24"/>
              </w:rPr>
              <w:t>提交的作品应以书面报告和演示文稿的形式呈现。</w:t>
            </w:r>
          </w:p>
          <w:p>
            <w:pPr>
              <w:widowControl/>
              <w:adjustRightInd w:val="0"/>
              <w:snapToGrid w:val="0"/>
              <w:spacing w:line="400" w:lineRule="exact"/>
              <w:ind w:firstLine="480" w:firstLineChars="200"/>
              <w:rPr>
                <w:rFonts w:eastAsia="仿宋"/>
                <w:kern w:val="0"/>
                <w:sz w:val="24"/>
              </w:rPr>
            </w:pPr>
            <w:r>
              <w:rPr>
                <w:rFonts w:eastAsia="仿宋"/>
                <w:kern w:val="0"/>
                <w:sz w:val="24"/>
              </w:rPr>
              <w:t>5）评选标准与优劣标准：</w:t>
            </w:r>
          </w:p>
          <w:p>
            <w:pPr>
              <w:widowControl/>
              <w:adjustRightInd w:val="0"/>
              <w:snapToGrid w:val="0"/>
              <w:spacing w:line="400" w:lineRule="exact"/>
              <w:ind w:firstLine="480" w:firstLineChars="200"/>
              <w:rPr>
                <w:rFonts w:eastAsia="仿宋"/>
                <w:kern w:val="0"/>
                <w:sz w:val="24"/>
              </w:rPr>
            </w:pPr>
            <w:r>
              <w:rPr>
                <w:rFonts w:eastAsia="仿宋"/>
                <w:kern w:val="0"/>
                <w:sz w:val="24"/>
              </w:rPr>
              <w:t>明确评选标准，包括技术创新性、市场潜力、实际应用价值、团队呈现能力和项目可持续性等方面。描述优秀作品应具备的特点，以及劣质作品常见的缺陷。</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1）行业知识与最新趋势分享：工程师基于大语言模型与生成式人工智能的结合趋势与领域应用。提供行业报告、案例研究以及先进的技术动态，帮助学生了解当前市场和技术的前沿动态。</w:t>
            </w:r>
          </w:p>
          <w:p>
            <w:pPr>
              <w:widowControl/>
              <w:adjustRightInd w:val="0"/>
              <w:snapToGrid w:val="0"/>
              <w:spacing w:line="400" w:lineRule="exact"/>
              <w:ind w:firstLine="480" w:firstLineChars="200"/>
              <w:rPr>
                <w:rFonts w:eastAsia="仿宋"/>
                <w:kern w:val="0"/>
                <w:sz w:val="24"/>
              </w:rPr>
            </w:pPr>
            <w:r>
              <w:rPr>
                <w:rFonts w:eastAsia="仿宋"/>
                <w:kern w:val="0"/>
                <w:sz w:val="24"/>
              </w:rPr>
              <w:t>2）技术培训和资源支持：提供技术层面的培训和支持，例如大语言模型的工作原理、生成式人工智能的设计与部署，以及数据加密和安全性方面的知识。同时，提供部分企业资源（如软件工具、专业顾问等）支持他们的项目。</w:t>
            </w:r>
          </w:p>
          <w:p>
            <w:pPr>
              <w:widowControl/>
              <w:adjustRightInd w:val="0"/>
              <w:snapToGrid w:val="0"/>
              <w:spacing w:line="400" w:lineRule="exact"/>
              <w:ind w:firstLine="480" w:firstLineChars="200"/>
              <w:rPr>
                <w:rFonts w:eastAsia="仿宋"/>
                <w:kern w:val="0"/>
                <w:sz w:val="24"/>
              </w:rPr>
            </w:pPr>
            <w:r>
              <w:rPr>
                <w:rFonts w:eastAsia="仿宋"/>
                <w:kern w:val="0"/>
                <w:sz w:val="24"/>
              </w:rPr>
              <w:t>3）商业模式和项目管理指导：指导学生构建一个可行的商业模式，包括市场分析、商业策略、盈利模式等。同时，教授他们项目管理的基本技能，如时间管理、团队协作、风险评估等。</w:t>
            </w:r>
          </w:p>
          <w:p>
            <w:pPr>
              <w:widowControl/>
              <w:adjustRightInd w:val="0"/>
              <w:snapToGrid w:val="0"/>
              <w:spacing w:line="400" w:lineRule="exact"/>
              <w:ind w:firstLine="480" w:firstLineChars="200"/>
              <w:rPr>
                <w:rFonts w:eastAsia="仿宋"/>
                <w:kern w:val="0"/>
                <w:sz w:val="24"/>
              </w:rPr>
            </w:pPr>
            <w:r>
              <w:rPr>
                <w:rFonts w:eastAsia="仿宋"/>
                <w:kern w:val="0"/>
                <w:sz w:val="24"/>
              </w:rPr>
              <w:t>4）行业网络构建：帮助学生建立与行业专家、潜在投资者、合作伙伴的联系。</w:t>
            </w:r>
          </w:p>
          <w:p>
            <w:pPr>
              <w:widowControl/>
              <w:adjustRightInd w:val="0"/>
              <w:snapToGrid w:val="0"/>
              <w:spacing w:line="400" w:lineRule="exact"/>
              <w:ind w:firstLine="480" w:firstLineChars="200"/>
              <w:rPr>
                <w:rFonts w:eastAsia="仿宋"/>
                <w:kern w:val="0"/>
                <w:sz w:val="24"/>
              </w:rPr>
            </w:pPr>
            <w:r>
              <w:rPr>
                <w:rFonts w:eastAsia="仿宋"/>
                <w:kern w:val="0"/>
                <w:sz w:val="24"/>
              </w:rPr>
              <w:t xml:space="preserve">5）可持续性与伦理指导：在绿色能源和可持续发展的背景下，对学生进行可持续性和伦理方面的指导。让他们理解其项目对环境和社会的长远影响，并在设计中融入这些考虑。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37"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根据排名情况，为部分获奖团队提供一定资金支持；</w:t>
            </w:r>
          </w:p>
          <w:p>
            <w:pPr>
              <w:widowControl/>
              <w:adjustRightInd w:val="0"/>
              <w:snapToGrid w:val="0"/>
              <w:spacing w:line="400" w:lineRule="exact"/>
              <w:ind w:firstLine="480" w:firstLineChars="200"/>
              <w:rPr>
                <w:rFonts w:eastAsia="仿宋"/>
                <w:kern w:val="0"/>
                <w:sz w:val="24"/>
              </w:rPr>
            </w:pPr>
            <w:r>
              <w:rPr>
                <w:rFonts w:eastAsia="仿宋"/>
                <w:kern w:val="0"/>
                <w:sz w:val="24"/>
              </w:rPr>
              <w:t>可提供实习或工作机会；</w:t>
            </w:r>
          </w:p>
          <w:p>
            <w:pPr>
              <w:widowControl/>
              <w:adjustRightInd w:val="0"/>
              <w:snapToGrid w:val="0"/>
              <w:spacing w:line="400" w:lineRule="exact"/>
              <w:ind w:firstLine="480" w:firstLineChars="200"/>
              <w:rPr>
                <w:rFonts w:eastAsia="仿宋"/>
                <w:kern w:val="0"/>
                <w:sz w:val="24"/>
              </w:rPr>
            </w:pPr>
            <w:r>
              <w:rPr>
                <w:rFonts w:eastAsia="仿宋"/>
                <w:kern w:val="0"/>
                <w:sz w:val="24"/>
              </w:rPr>
              <w:t>允许获奖团队使用公司的技术资源和设施，如服务器、软件许可证和实验室设备，以促进他们的研究和开发工作；</w:t>
            </w:r>
          </w:p>
          <w:p>
            <w:pPr>
              <w:widowControl/>
              <w:adjustRightInd w:val="0"/>
              <w:snapToGrid w:val="0"/>
              <w:spacing w:line="400" w:lineRule="exact"/>
              <w:ind w:firstLine="480" w:firstLineChars="200"/>
              <w:rPr>
                <w:rFonts w:eastAsia="仿宋"/>
                <w:kern w:val="0"/>
                <w:sz w:val="24"/>
              </w:rPr>
            </w:pPr>
            <w:r>
              <w:rPr>
                <w:rFonts w:eastAsia="仿宋"/>
                <w:kern w:val="0"/>
                <w:sz w:val="24"/>
              </w:rPr>
              <w:t>为获奖团队提供参与行业会议、展览和网络活动的机会，帮助他们建立行业联系，增加项目的曝光度和影响力。</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eastAsia="方正小标宋简体"/>
          <w:kern w:val="0"/>
          <w:sz w:val="44"/>
          <w:szCs w:val="32"/>
          <w:lang w:val="en-GB"/>
        </w:rPr>
        <w:t xml:space="preserve"> </w:t>
      </w: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-11</w:t>
      </w:r>
    </w:p>
    <w:p>
      <w:pPr>
        <w:widowControl/>
        <w:tabs>
          <w:tab w:val="left" w:pos="8640"/>
        </w:tabs>
        <w:adjustRightInd w:val="0"/>
        <w:snapToGrid w:val="0"/>
        <w:spacing w:line="640" w:lineRule="exact"/>
        <w:jc w:val="center"/>
        <w:rPr>
          <w:rFonts w:eastAsia="方正小标宋简体"/>
          <w:bCs/>
          <w:kern w:val="0"/>
          <w:sz w:val="40"/>
          <w:szCs w:val="40"/>
        </w:rPr>
      </w:pPr>
    </w:p>
    <w:p>
      <w:pPr>
        <w:widowControl/>
        <w:tabs>
          <w:tab w:val="left" w:pos="8640"/>
        </w:tabs>
        <w:adjustRightInd w:val="0"/>
        <w:snapToGrid w:val="0"/>
        <w:ind w:firstLine="426"/>
        <w:jc w:val="center"/>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4"/>
        <w:gridCol w:w="148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国汽（北京）智能网联汽车研究院有限公司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北京市北京经济技术开发区融兴北三街39号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方正仿宋简体"/>
                <w:bCs/>
                <w:spacing w:val="6"/>
                <w:kern w:val="0"/>
                <w:sz w:val="24"/>
                <w:szCs w:val="28"/>
              </w:rPr>
            </w:pPr>
            <w:r>
              <w:rPr>
                <w:rFonts w:eastAsia="仿宋"/>
                <w:kern w:val="0"/>
                <w:sz w:val="24"/>
              </w:rPr>
              <w:t>国汽（北京）智能网联汽车研究院有限公司由中国汽车工程学会、中国汽车工业协会及中国智能网联汽车产业创新联盟共同发起筹建，成立于2018年3月19日，注册地址为北京市经济技术开发区，注册资本11亿元。23家股东单位均为整车、零部件、信息通信等领域的领军企业和科研机构。2019年5月30日，国家工业和信息化部正式批复同意由国汽（北京）智能网联汽车研究院有限公司组建国家智能网联汽车创新中心。发挥国家智能网联汽车创新中心作用，担当产业发展核心智库、共性技术研发中心、创新服务公共平台、创新生态协同平台、创新成果转化基地，提升我国智能网联汽车及相关产业在全球价值链中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8" w:type="dxa"/>
            <w:vAlign w:val="center"/>
          </w:tcPr>
          <w:p>
            <w:pPr>
              <w:widowControl/>
              <w:adjustRightInd w:val="0"/>
              <w:snapToGrid w:val="0"/>
              <w:ind w:firstLine="280" w:firstLineChars="100"/>
              <w:rPr>
                <w:rFonts w:eastAsia="楷体"/>
                <w:bCs/>
                <w:spacing w:val="6"/>
                <w:kern w:val="0"/>
                <w:sz w:val="24"/>
                <w:szCs w:val="28"/>
              </w:rPr>
            </w:pPr>
            <w:r>
              <w:rPr>
                <w:rFonts w:eastAsia="楷体"/>
                <w:kern w:val="0"/>
                <w:sz w:val="28"/>
                <w:szCs w:val="32"/>
              </w:rPr>
              <w:t>联系人</w:t>
            </w:r>
          </w:p>
        </w:tc>
        <w:tc>
          <w:tcPr>
            <w:tcW w:w="2664" w:type="dxa"/>
            <w:vAlign w:val="center"/>
          </w:tcPr>
          <w:p>
            <w:pPr>
              <w:widowControl/>
              <w:adjustRightInd w:val="0"/>
              <w:snapToGrid w:val="0"/>
              <w:jc w:val="center"/>
              <w:rPr>
                <w:rFonts w:eastAsia="仿宋"/>
                <w:bCs/>
                <w:spacing w:val="6"/>
                <w:kern w:val="0"/>
                <w:sz w:val="24"/>
                <w:szCs w:val="28"/>
              </w:rPr>
            </w:pPr>
            <w:r>
              <w:rPr>
                <w:rFonts w:eastAsia="仿宋"/>
                <w:bCs/>
                <w:spacing w:val="6"/>
                <w:kern w:val="0"/>
                <w:sz w:val="24"/>
                <w:szCs w:val="28"/>
              </w:rPr>
              <w:t>岳老师</w:t>
            </w:r>
          </w:p>
        </w:tc>
        <w:tc>
          <w:tcPr>
            <w:tcW w:w="1485"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方正仿宋简体"/>
                <w:kern w:val="0"/>
                <w:sz w:val="24"/>
              </w:rPr>
            </w:pPr>
            <w:r>
              <w:rPr>
                <w:rFonts w:eastAsia="方正仿宋简体"/>
                <w:bCs/>
                <w:spacing w:val="6"/>
                <w:kern w:val="0"/>
                <w:sz w:val="24"/>
                <w:szCs w:val="28"/>
              </w:rPr>
              <w:t>13820880338</w:t>
            </w:r>
          </w:p>
        </w:tc>
      </w:tr>
    </w:tbl>
    <w:p>
      <w:pPr>
        <w:widowControl/>
        <w:tabs>
          <w:tab w:val="left" w:pos="8640"/>
        </w:tabs>
        <w:adjustRightInd w:val="0"/>
        <w:snapToGrid w:val="0"/>
        <w:spacing w:line="560" w:lineRule="exact"/>
        <w:ind w:firstLine="637"/>
        <w:rPr>
          <w:rFonts w:eastAsia="方正黑体简体"/>
          <w:bCs/>
          <w:spacing w:val="6"/>
          <w:kern w:val="0"/>
          <w:sz w:val="32"/>
          <w:szCs w:val="32"/>
          <w:lang w:val="en-GB"/>
        </w:rPr>
      </w:pPr>
    </w:p>
    <w:p>
      <w:pPr>
        <w:widowControl/>
        <w:tabs>
          <w:tab w:val="left" w:pos="8640"/>
        </w:tabs>
        <w:adjustRightInd w:val="0"/>
        <w:snapToGrid w:val="0"/>
        <w:spacing w:line="560" w:lineRule="exac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智能网联汽车安全监测与防护系统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智能网联汽车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ind w:firstLine="280" w:firstLineChars="100"/>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智能网联汽车已成为汽车产业发展的战略方向，安全是智能网联汽车大规模商业化应用的最大挑战。项目旨在开发保障智能网联汽车安全运行的实时在线监测与防护系统，系统可结合多维感知、智能分析、决策控制等技术，实现对智能网联汽车行驶全过程安全状态监测与防护。</w:t>
            </w:r>
          </w:p>
          <w:p>
            <w:pPr>
              <w:widowControl/>
              <w:adjustRightInd w:val="0"/>
              <w:snapToGrid w:val="0"/>
              <w:spacing w:line="400" w:lineRule="exact"/>
              <w:ind w:firstLine="480" w:firstLineChars="200"/>
              <w:rPr>
                <w:rFonts w:eastAsia="方正仿宋简体"/>
                <w:kern w:val="0"/>
                <w:sz w:val="24"/>
                <w:lang w:val="en-GB"/>
              </w:rPr>
            </w:pPr>
            <w:r>
              <w:rPr>
                <w:rFonts w:eastAsia="仿宋"/>
                <w:kern w:val="0"/>
                <w:sz w:val="24"/>
              </w:rPr>
              <w:t>系统的核心功能和目标包括：①智能网联汽车行驶安全风险评估。包括车辆周边环境带来的碰撞风险、违规风险、驾乘人员操作风险等；②智能网联汽车系统安全状态监测。结合风险评估结果对车辆系统安全状态进行综合分析，实时监测车辆是否处于可能发生事故的不安全状态；③智能网联汽车安全防护。结合车辆安全状态监测结果，在车辆可能发生碰撞、失控等安全事故时，系统可介入车辆控制，保障智能网联汽车安全。</w:t>
            </w:r>
          </w:p>
          <w:p>
            <w:pPr>
              <w:widowControl/>
              <w:adjustRightInd w:val="0"/>
              <w:snapToGrid w:val="0"/>
              <w:ind w:firstLine="504" w:firstLineChars="200"/>
              <w:rPr>
                <w:rFonts w:eastAsia="方正仿宋简体"/>
                <w:bCs/>
                <w:spacing w:val="6"/>
                <w:kern w:val="0"/>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kern w:val="0"/>
                <w:sz w:val="28"/>
                <w:szCs w:val="32"/>
              </w:rPr>
            </w:pPr>
            <w:r>
              <w:rPr>
                <w:rFonts w:eastAsia="楷体"/>
                <w:kern w:val="0"/>
                <w:sz w:val="28"/>
                <w:szCs w:val="32"/>
              </w:rPr>
              <w:t>预期取得的</w:t>
            </w:r>
          </w:p>
          <w:p>
            <w:pPr>
              <w:widowControl/>
              <w:adjustRightInd w:val="0"/>
              <w:snapToGrid w:val="0"/>
              <w:jc w:val="center"/>
              <w:rPr>
                <w:rFonts w:eastAsia="楷体"/>
                <w:kern w:val="0"/>
                <w:sz w:val="28"/>
                <w:szCs w:val="32"/>
              </w:rPr>
            </w:pPr>
            <w:r>
              <w:rPr>
                <w:rFonts w:eastAsia="楷体"/>
                <w:kern w:val="0"/>
                <w:sz w:val="28"/>
                <w:szCs w:val="32"/>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方正仿宋简体"/>
                <w:kern w:val="0"/>
                <w:sz w:val="24"/>
                <w:lang w:val="en-GB"/>
              </w:rPr>
            </w:pPr>
            <w:r>
              <w:rPr>
                <w:rFonts w:eastAsia="仿宋"/>
                <w:kern w:val="0"/>
                <w:sz w:val="24"/>
              </w:rPr>
              <w:t>系统可为智能网联汽车行驶全过程提供安全保障，为智能网联汽车开展大规模商业化应用保驾护航。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ind w:firstLine="280" w:firstLineChars="100"/>
              <w:rPr>
                <w:rFonts w:eastAsia="楷体"/>
                <w:kern w:val="0"/>
                <w:sz w:val="28"/>
                <w:szCs w:val="32"/>
              </w:rPr>
            </w:pPr>
            <w:r>
              <w:rPr>
                <w:rFonts w:eastAsia="楷体"/>
                <w:kern w:val="0"/>
                <w:sz w:val="28"/>
                <w:szCs w:val="32"/>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1.研制出完整的软硬件系统，并在智能网联汽车上开展测试与验证；</w:t>
            </w:r>
          </w:p>
          <w:p>
            <w:pPr>
              <w:widowControl/>
              <w:adjustRightInd w:val="0"/>
              <w:snapToGrid w:val="0"/>
              <w:spacing w:line="400" w:lineRule="exact"/>
              <w:ind w:firstLine="480" w:firstLineChars="200"/>
              <w:rPr>
                <w:rFonts w:eastAsia="方正仿宋简体"/>
                <w:kern w:val="0"/>
                <w:sz w:val="24"/>
                <w:lang w:val="en-GB"/>
              </w:rPr>
            </w:pPr>
            <w:r>
              <w:rPr>
                <w:rFonts w:eastAsia="仿宋"/>
                <w:kern w:val="0"/>
                <w:sz w:val="24"/>
              </w:rPr>
              <w:t>2.系统可实现对智能网联汽车行驶安全风险的准确评估，在典型危险场景下，系统可有效介入车辆控制以保障行驶安全。</w:t>
            </w:r>
          </w:p>
        </w:tc>
      </w:tr>
    </w:tbl>
    <w:p>
      <w:pPr>
        <w:widowControl/>
        <w:tabs>
          <w:tab w:val="left" w:pos="8640"/>
        </w:tabs>
        <w:adjustRightInd w:val="0"/>
        <w:snapToGrid w:val="0"/>
        <w:spacing w:line="440" w:lineRule="exact"/>
        <w:ind w:firstLine="637"/>
        <w:jc w:val="center"/>
        <w:rPr>
          <w:rFonts w:eastAsia="方正黑体简体"/>
          <w:bCs/>
          <w:spacing w:val="6"/>
          <w:kern w:val="0"/>
          <w:sz w:val="32"/>
          <w:szCs w:val="32"/>
          <w:lang w:val="en-GB"/>
        </w:rPr>
      </w:pPr>
    </w:p>
    <w:p>
      <w:pPr>
        <w:widowControl/>
        <w:tabs>
          <w:tab w:val="left" w:pos="8640"/>
        </w:tabs>
        <w:adjustRightInd w:val="0"/>
        <w:snapToGrid w:val="0"/>
        <w:spacing w:line="440" w:lineRule="exac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37"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为了确保参赛团队在比赛中取得优异成绩，将提供全方位的指导帮助和支持，包括：</w:t>
            </w:r>
          </w:p>
          <w:p>
            <w:pPr>
              <w:widowControl/>
              <w:adjustRightInd w:val="0"/>
              <w:snapToGrid w:val="0"/>
              <w:spacing w:line="400" w:lineRule="exact"/>
              <w:ind w:firstLine="480" w:firstLineChars="200"/>
              <w:rPr>
                <w:rFonts w:eastAsia="仿宋"/>
                <w:kern w:val="0"/>
                <w:sz w:val="24"/>
              </w:rPr>
            </w:pPr>
            <w:r>
              <w:rPr>
                <w:rFonts w:eastAsia="仿宋"/>
                <w:kern w:val="0"/>
                <w:sz w:val="24"/>
              </w:rPr>
              <w:t>• 参观应用场景：将安排参赛团队参观相关的实际应用场景，以便更好地了解行业现状、发展趋势和应用前景。</w:t>
            </w:r>
          </w:p>
          <w:p>
            <w:pPr>
              <w:widowControl/>
              <w:adjustRightInd w:val="0"/>
              <w:snapToGrid w:val="0"/>
              <w:spacing w:line="400" w:lineRule="exact"/>
              <w:ind w:firstLine="480" w:firstLineChars="200"/>
              <w:rPr>
                <w:rFonts w:eastAsia="仿宋"/>
                <w:kern w:val="0"/>
                <w:sz w:val="24"/>
              </w:rPr>
            </w:pPr>
            <w:r>
              <w:rPr>
                <w:rFonts w:eastAsia="仿宋"/>
                <w:kern w:val="0"/>
                <w:sz w:val="24"/>
              </w:rPr>
              <w:t>• 实践调研：将组织参赛团队进行实践调研，深入了解行业内的实际问题和需求。调研对象包括企业、学校和政府部门等。</w:t>
            </w:r>
          </w:p>
          <w:p>
            <w:pPr>
              <w:widowControl/>
              <w:adjustRightInd w:val="0"/>
              <w:snapToGrid w:val="0"/>
              <w:spacing w:line="400" w:lineRule="exact"/>
              <w:ind w:firstLine="480" w:firstLineChars="200"/>
              <w:rPr>
                <w:rFonts w:eastAsia="仿宋"/>
                <w:kern w:val="0"/>
                <w:sz w:val="24"/>
              </w:rPr>
            </w:pPr>
            <w:r>
              <w:rPr>
                <w:rFonts w:eastAsia="仿宋"/>
                <w:kern w:val="0"/>
                <w:sz w:val="24"/>
              </w:rPr>
              <w:t>• 配备专门指导人员：将为参赛团队配备经验丰富的指导老师，提供技术指导、创意指导和策略建议等。指导老师将与参赛团队保持密切沟通，确保作品质量和创新性。</w:t>
            </w:r>
          </w:p>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kern w:val="0"/>
                <w:sz w:val="24"/>
              </w:rPr>
              <w:t>• 推动产教融合：将积极与相关企业、学校和政府部门合作，推动产教融合，为参赛团队提供更多实践机会和资源。将</w:t>
            </w:r>
            <w:r>
              <w:rPr>
                <w:rFonts w:hint="eastAsia" w:eastAsia="仿宋"/>
                <w:kern w:val="0"/>
                <w:sz w:val="24"/>
              </w:rPr>
              <w:t>邀请</w:t>
            </w:r>
            <w:r>
              <w:rPr>
                <w:rFonts w:eastAsia="仿宋"/>
                <w:kern w:val="0"/>
                <w:sz w:val="24"/>
              </w:rPr>
              <w:t>行业专家和企业代表参加比赛评审和讲座活动，为参赛团队提供更多学习机会。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按照排名情况，为部分优秀获奖团队提供实习实践机会、就业岗位推荐、求职</w:t>
            </w:r>
            <w:r>
              <w:rPr>
                <w:rFonts w:hint="eastAsia" w:eastAsia="仿宋"/>
                <w:kern w:val="0"/>
                <w:sz w:val="24"/>
              </w:rPr>
              <w:t>“</w:t>
            </w:r>
            <w:r>
              <w:rPr>
                <w:rFonts w:eastAsia="仿宋"/>
                <w:kern w:val="0"/>
                <w:sz w:val="24"/>
              </w:rPr>
              <w:t>绿色通道</w:t>
            </w:r>
            <w:r>
              <w:rPr>
                <w:rFonts w:hint="eastAsia" w:eastAsia="仿宋"/>
                <w:kern w:val="0"/>
                <w:sz w:val="24"/>
              </w:rPr>
              <w:t>”</w:t>
            </w:r>
            <w:r>
              <w:rPr>
                <w:rFonts w:eastAsia="仿宋"/>
                <w:kern w:val="0"/>
                <w:sz w:val="24"/>
              </w:rPr>
              <w:t>等。</w:t>
            </w:r>
          </w:p>
          <w:p>
            <w:pPr>
              <w:widowControl/>
              <w:adjustRightInd w:val="0"/>
              <w:snapToGrid w:val="0"/>
              <w:spacing w:line="400" w:lineRule="exact"/>
              <w:ind w:firstLine="480" w:firstLineChars="200"/>
              <w:rPr>
                <w:rFonts w:eastAsia="仿宋"/>
                <w:kern w:val="0"/>
                <w:sz w:val="24"/>
              </w:rPr>
            </w:pPr>
            <w:r>
              <w:rPr>
                <w:rFonts w:eastAsia="仿宋"/>
                <w:kern w:val="0"/>
                <w:sz w:val="24"/>
              </w:rPr>
              <w:t>对于被选为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团队的获奖者，将提供以下奖励措施：</w:t>
            </w:r>
          </w:p>
          <w:p>
            <w:pPr>
              <w:widowControl/>
              <w:adjustRightInd w:val="0"/>
              <w:snapToGrid w:val="0"/>
              <w:spacing w:line="400" w:lineRule="exact"/>
              <w:ind w:firstLine="480" w:firstLineChars="200"/>
              <w:rPr>
                <w:rFonts w:eastAsia="仿宋"/>
                <w:kern w:val="0"/>
                <w:sz w:val="24"/>
              </w:rPr>
            </w:pPr>
            <w:r>
              <w:rPr>
                <w:rFonts w:eastAsia="仿宋"/>
                <w:kern w:val="0"/>
                <w:sz w:val="24"/>
              </w:rPr>
              <w:t>• 优先实习实践机会：为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团队成员提供优先实习实践的机会，帮助他们提升实践能力。</w:t>
            </w:r>
          </w:p>
          <w:p>
            <w:pPr>
              <w:widowControl/>
              <w:adjustRightInd w:val="0"/>
              <w:snapToGrid w:val="0"/>
              <w:spacing w:line="400" w:lineRule="exact"/>
              <w:ind w:firstLine="480" w:firstLineChars="200"/>
              <w:rPr>
                <w:rFonts w:eastAsia="仿宋"/>
                <w:kern w:val="0"/>
                <w:sz w:val="24"/>
              </w:rPr>
            </w:pPr>
            <w:r>
              <w:rPr>
                <w:rFonts w:eastAsia="仿宋"/>
                <w:kern w:val="0"/>
                <w:sz w:val="24"/>
              </w:rPr>
              <w:t>• 优先就业岗位推荐：为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团队成员提供优先就业岗位推荐的机会，增加他们的就业机会。</w:t>
            </w:r>
          </w:p>
          <w:p>
            <w:pPr>
              <w:widowControl/>
              <w:adjustRightInd w:val="0"/>
              <w:snapToGrid w:val="0"/>
              <w:spacing w:line="400" w:lineRule="exact"/>
              <w:ind w:firstLine="480" w:firstLineChars="200"/>
              <w:rPr>
                <w:rFonts w:eastAsia="仿宋"/>
                <w:kern w:val="0"/>
                <w:sz w:val="24"/>
              </w:rPr>
            </w:pPr>
            <w:r>
              <w:rPr>
                <w:rFonts w:eastAsia="仿宋"/>
                <w:kern w:val="0"/>
                <w:sz w:val="24"/>
              </w:rPr>
              <w:t>• 产教融合：为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团队所在高校提供与企业合作的机会，推动产教融合，促进科技成果转化。</w:t>
            </w:r>
          </w:p>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kern w:val="0"/>
                <w:sz w:val="24"/>
              </w:rPr>
              <w:t>• 专属成果孵化政策：为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团队提供专属的成果孵化政策，支持他们将获奖项目转化为实际产品和服务。</w:t>
            </w:r>
          </w:p>
        </w:tc>
      </w:tr>
    </w:tbl>
    <w:p>
      <w:pPr>
        <w:widowControl/>
        <w:adjustRightInd w:val="0"/>
        <w:snapToGrid w:val="0"/>
        <w:jc w:val="center"/>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“青智未来”新质生产力专项赛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-12</w:t>
      </w:r>
    </w:p>
    <w:p>
      <w:pPr>
        <w:widowControl/>
        <w:adjustRightInd w:val="0"/>
        <w:snapToGrid w:val="0"/>
        <w:jc w:val="center"/>
        <w:rPr>
          <w:rFonts w:eastAsia="方正小标宋简体"/>
          <w:kern w:val="0"/>
          <w:sz w:val="40"/>
          <w:szCs w:val="40"/>
        </w:rPr>
      </w:pPr>
    </w:p>
    <w:p>
      <w:pPr>
        <w:widowControl/>
        <w:adjustRightInd w:val="0"/>
        <w:snapToGrid w:val="0"/>
        <w:jc w:val="center"/>
        <w:rPr>
          <w:rFonts w:eastAsia="方正黑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11"/>
        <w:gridCol w:w="149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tcPr>
          <w:p>
            <w:pPr>
              <w:widowControl/>
              <w:adjustRightInd w:val="0"/>
              <w:snapToGrid w:val="0"/>
              <w:spacing w:line="400" w:lineRule="exact"/>
              <w:jc w:val="center"/>
              <w:rPr>
                <w:rFonts w:eastAsia="仿宋"/>
                <w:kern w:val="0"/>
                <w:sz w:val="24"/>
              </w:rPr>
            </w:pPr>
            <w:r>
              <w:rPr>
                <w:rFonts w:eastAsia="仿宋"/>
                <w:kern w:val="0"/>
                <w:sz w:val="24"/>
              </w:rPr>
              <w:t>百洋医药集团有限公司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tcPr>
          <w:p>
            <w:pPr>
              <w:widowControl/>
              <w:adjustRightInd w:val="0"/>
              <w:snapToGrid w:val="0"/>
              <w:spacing w:line="400" w:lineRule="exact"/>
              <w:jc w:val="center"/>
              <w:rPr>
                <w:rFonts w:eastAsia="仿宋"/>
                <w:kern w:val="0"/>
                <w:sz w:val="24"/>
              </w:rPr>
            </w:pPr>
            <w:r>
              <w:rPr>
                <w:rFonts w:eastAsia="仿宋"/>
                <w:kern w:val="0"/>
                <w:sz w:val="24"/>
              </w:rPr>
              <w:t>民</w:t>
            </w:r>
            <w:r>
              <w:rPr>
                <w:rFonts w:eastAsia="仿宋"/>
                <w:kern w:val="0"/>
                <w:sz w:val="24"/>
                <w:lang w:val="en-GB"/>
              </w:rPr>
              <w:t>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tcPr>
          <w:p>
            <w:pPr>
              <w:widowControl/>
              <w:adjustRightInd w:val="0"/>
              <w:snapToGrid w:val="0"/>
              <w:spacing w:line="400" w:lineRule="exact"/>
              <w:jc w:val="center"/>
              <w:rPr>
                <w:rFonts w:eastAsia="仿宋"/>
                <w:kern w:val="0"/>
                <w:sz w:val="24"/>
                <w:lang w:val="en-GB"/>
              </w:rPr>
            </w:pPr>
            <w:r>
              <w:rPr>
                <w:rFonts w:eastAsia="仿宋"/>
                <w:kern w:val="0"/>
                <w:sz w:val="24"/>
                <w:lang w:val="en-GB"/>
              </w:rPr>
              <w:t>北京市中关村科技园区门头沟园平安路20号院5号楼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tcPr>
          <w:p>
            <w:pPr>
              <w:widowControl/>
              <w:spacing w:line="400" w:lineRule="exact"/>
              <w:ind w:firstLine="480" w:firstLineChars="200"/>
              <w:jc w:val="left"/>
              <w:textAlignment w:val="center"/>
              <w:rPr>
                <w:rFonts w:eastAsia="方正仿宋简体"/>
                <w:color w:val="000000"/>
                <w:kern w:val="0"/>
                <w:sz w:val="24"/>
                <w:lang w:val="en-GB"/>
              </w:rPr>
            </w:pPr>
            <w:bookmarkStart w:id="0" w:name="OLE_LINK8"/>
            <w:r>
              <w:rPr>
                <w:rFonts w:eastAsia="仿宋"/>
                <w:kern w:val="0"/>
                <w:sz w:val="24"/>
              </w:rPr>
              <w:t>百洋医药集团是以科技创新为驱动力的健康产业集团。集团以商业化能力为基础，以资产增值为核心，以创新孵化为特色，核心业务包括健康品牌商业化平台和创新成果投资孵化，致力于以科技创新优化医疗场景。</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jc w:val="center"/>
              <w:rPr>
                <w:rFonts w:eastAsia="楷体"/>
                <w:kern w:val="0"/>
                <w:sz w:val="28"/>
                <w:szCs w:val="32"/>
                <w:lang w:val="en-GB"/>
              </w:rPr>
            </w:pPr>
            <w:r>
              <w:rPr>
                <w:rFonts w:eastAsia="楷体"/>
                <w:kern w:val="0"/>
                <w:sz w:val="28"/>
                <w:szCs w:val="32"/>
              </w:rPr>
              <w:t>技术联系人</w:t>
            </w:r>
          </w:p>
        </w:tc>
        <w:tc>
          <w:tcPr>
            <w:tcW w:w="2811" w:type="dxa"/>
            <w:vAlign w:val="center"/>
          </w:tcPr>
          <w:p>
            <w:pPr>
              <w:widowControl/>
              <w:adjustRightInd w:val="0"/>
              <w:snapToGrid w:val="0"/>
              <w:jc w:val="center"/>
              <w:rPr>
                <w:rFonts w:eastAsia="仿宋"/>
                <w:kern w:val="0"/>
                <w:sz w:val="24"/>
              </w:rPr>
            </w:pPr>
            <w:r>
              <w:rPr>
                <w:rFonts w:eastAsia="仿宋"/>
                <w:kern w:val="0"/>
                <w:sz w:val="24"/>
              </w:rPr>
              <w:t>原老师</w:t>
            </w:r>
          </w:p>
        </w:tc>
        <w:tc>
          <w:tcPr>
            <w:tcW w:w="1495" w:type="dxa"/>
            <w:vAlign w:val="center"/>
          </w:tcPr>
          <w:p>
            <w:pPr>
              <w:widowControl/>
              <w:adjustRightInd w:val="0"/>
              <w:jc w:val="center"/>
              <w:rPr>
                <w:rFonts w:eastAsia="方正楷体简体"/>
                <w:kern w:val="0"/>
                <w:sz w:val="28"/>
                <w:szCs w:val="32"/>
              </w:rPr>
            </w:pPr>
            <w:r>
              <w:rPr>
                <w:rFonts w:eastAsia="楷体"/>
                <w:kern w:val="0"/>
                <w:sz w:val="28"/>
                <w:szCs w:val="32"/>
              </w:rPr>
              <w:t>联系方式</w:t>
            </w:r>
          </w:p>
        </w:tc>
        <w:tc>
          <w:tcPr>
            <w:tcW w:w="2626" w:type="dxa"/>
            <w:vAlign w:val="center"/>
          </w:tcPr>
          <w:p>
            <w:pPr>
              <w:widowControl/>
              <w:jc w:val="center"/>
              <w:textAlignment w:val="center"/>
              <w:rPr>
                <w:rFonts w:eastAsia="方正仿宋简体"/>
                <w:color w:val="000000"/>
                <w:kern w:val="0"/>
                <w:sz w:val="24"/>
              </w:rPr>
            </w:pPr>
            <w:r>
              <w:rPr>
                <w:rFonts w:eastAsia="方正仿宋简体"/>
                <w:color w:val="000000"/>
                <w:kern w:val="0"/>
                <w:sz w:val="24"/>
              </w:rPr>
              <w:t>13699185801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pPr>
              <w:widowControl/>
              <w:adjustRightInd w:val="0"/>
              <w:jc w:val="center"/>
              <w:rPr>
                <w:rFonts w:eastAsia="楷体"/>
                <w:kern w:val="0"/>
                <w:sz w:val="28"/>
                <w:szCs w:val="32"/>
              </w:rPr>
            </w:pPr>
            <w:r>
              <w:rPr>
                <w:rFonts w:eastAsia="楷体"/>
                <w:kern w:val="0"/>
                <w:sz w:val="28"/>
                <w:szCs w:val="32"/>
              </w:rPr>
              <w:t>项目联系人</w:t>
            </w:r>
          </w:p>
        </w:tc>
        <w:tc>
          <w:tcPr>
            <w:tcW w:w="2811" w:type="dxa"/>
            <w:vAlign w:val="center"/>
          </w:tcPr>
          <w:p>
            <w:pPr>
              <w:widowControl/>
              <w:adjustRightInd w:val="0"/>
              <w:snapToGrid w:val="0"/>
              <w:jc w:val="center"/>
              <w:rPr>
                <w:rFonts w:eastAsia="仿宋"/>
                <w:kern w:val="0"/>
                <w:sz w:val="24"/>
              </w:rPr>
            </w:pPr>
            <w:r>
              <w:rPr>
                <w:rFonts w:eastAsia="仿宋"/>
                <w:kern w:val="0"/>
                <w:sz w:val="24"/>
              </w:rPr>
              <w:t>刁老师</w:t>
            </w:r>
          </w:p>
        </w:tc>
        <w:tc>
          <w:tcPr>
            <w:tcW w:w="1495" w:type="dxa"/>
            <w:vAlign w:val="center"/>
          </w:tcPr>
          <w:p>
            <w:pPr>
              <w:widowControl/>
              <w:adjustRightInd w:val="0"/>
              <w:jc w:val="center"/>
              <w:rPr>
                <w:rFonts w:eastAsia="方正楷体简体"/>
                <w:kern w:val="0"/>
                <w:sz w:val="28"/>
                <w:szCs w:val="32"/>
              </w:rPr>
            </w:pPr>
            <w:r>
              <w:rPr>
                <w:rFonts w:eastAsia="楷体"/>
                <w:kern w:val="0"/>
                <w:sz w:val="28"/>
                <w:szCs w:val="32"/>
              </w:rPr>
              <w:t>联系方式</w:t>
            </w:r>
          </w:p>
        </w:tc>
        <w:tc>
          <w:tcPr>
            <w:tcW w:w="2626" w:type="dxa"/>
            <w:vAlign w:val="center"/>
          </w:tcPr>
          <w:p>
            <w:pPr>
              <w:widowControl/>
              <w:jc w:val="center"/>
              <w:textAlignment w:val="center"/>
              <w:rPr>
                <w:rFonts w:eastAsia="方正仿宋简体"/>
                <w:color w:val="000000"/>
                <w:kern w:val="0"/>
                <w:sz w:val="24"/>
              </w:rPr>
            </w:pPr>
            <w:r>
              <w:rPr>
                <w:rFonts w:eastAsia="方正仿宋简体"/>
                <w:color w:val="000000"/>
                <w:kern w:val="0"/>
                <w:sz w:val="24"/>
              </w:rPr>
              <w:t>13260232397</w:t>
            </w:r>
          </w:p>
        </w:tc>
      </w:tr>
    </w:tbl>
    <w:p>
      <w:pPr>
        <w:widowControl/>
        <w:adjustRightInd w:val="0"/>
        <w:snapToGrid w:val="0"/>
        <w:jc w:val="center"/>
        <w:rPr>
          <w:rFonts w:eastAsia="方正楷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基于高通量测序和特征基因表达谱的重症传染病中药筛选与分析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医药卫生（中西医结合诊疗与转化）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2" w:firstLineChars="200"/>
              <w:jc w:val="left"/>
              <w:rPr>
                <w:rFonts w:eastAsia="仿宋"/>
                <w:kern w:val="0"/>
                <w:sz w:val="24"/>
              </w:rPr>
            </w:pPr>
            <w:r>
              <w:rPr>
                <w:rFonts w:eastAsia="仿宋"/>
                <w:b/>
                <w:bCs/>
                <w:kern w:val="0"/>
                <w:sz w:val="24"/>
              </w:rPr>
              <w:t>1．立项依据：</w:t>
            </w:r>
            <w:r>
              <w:rPr>
                <w:rFonts w:eastAsia="仿宋"/>
                <w:kern w:val="0"/>
                <w:sz w:val="24"/>
              </w:rPr>
              <w:t>随着</w:t>
            </w:r>
            <w:r>
              <w:rPr>
                <w:rFonts w:hint="eastAsia" w:eastAsia="仿宋"/>
                <w:kern w:val="0"/>
                <w:sz w:val="24"/>
              </w:rPr>
              <w:t>“</w:t>
            </w:r>
            <w:r>
              <w:rPr>
                <w:rFonts w:eastAsia="仿宋"/>
                <w:kern w:val="0"/>
                <w:sz w:val="24"/>
              </w:rPr>
              <w:t>健康中国</w:t>
            </w:r>
            <w:r>
              <w:rPr>
                <w:rFonts w:hint="eastAsia" w:eastAsia="仿宋"/>
                <w:kern w:val="0"/>
                <w:sz w:val="24"/>
              </w:rPr>
              <w:t>”</w:t>
            </w:r>
            <w:r>
              <w:rPr>
                <w:rFonts w:eastAsia="仿宋"/>
                <w:kern w:val="0"/>
                <w:sz w:val="24"/>
              </w:rPr>
              <w:t>战略的深入实施，中药研发成为关系国计民生的重要产业，中药药效物质不明确、机理不清晰是制约其发展的关键问题。传染病重症是我国重要的公共卫生问题，中医药在传染性重症疾病治疗中有独到的优势。传染性重症疾病的中药研发是目前亟待解决的关键问题。特征基因表达谱为解决上述问题提供了方案，我们可整合分析细胞基因组学数据，建立药物</w:t>
            </w:r>
            <w:r>
              <w:rPr>
                <w:rFonts w:hint="eastAsia" w:eastAsia="仿宋"/>
                <w:kern w:val="0"/>
                <w:sz w:val="24"/>
              </w:rPr>
              <w:t>－</w:t>
            </w:r>
            <w:r>
              <w:rPr>
                <w:rFonts w:eastAsia="仿宋"/>
                <w:kern w:val="0"/>
                <w:sz w:val="24"/>
              </w:rPr>
              <w:t>疾病</w:t>
            </w:r>
            <w:r>
              <w:rPr>
                <w:rFonts w:hint="eastAsia" w:eastAsia="仿宋"/>
                <w:kern w:val="0"/>
                <w:sz w:val="24"/>
              </w:rPr>
              <w:t>－</w:t>
            </w:r>
            <w:r>
              <w:rPr>
                <w:rFonts w:eastAsia="仿宋"/>
                <w:kern w:val="0"/>
                <w:sz w:val="24"/>
              </w:rPr>
              <w:t>基因相关联的大数据模型，整理出差异表达基因谱。可通过匹配药物处理后的基因表达图谱与比对图谱的基因表达差异，对化合物活性进行打分，寻找与比对图谱正相关或负相关的化合物列表。上述高通量筛选过程可以用于筛选用于治疗重症传染病的有效中药成分、预测药物活性、发现新治疗靶点。</w:t>
            </w:r>
          </w:p>
          <w:p>
            <w:pPr>
              <w:widowControl/>
              <w:adjustRightInd w:val="0"/>
              <w:snapToGrid w:val="0"/>
              <w:spacing w:line="400" w:lineRule="exact"/>
              <w:ind w:firstLine="482" w:firstLineChars="200"/>
              <w:jc w:val="left"/>
              <w:rPr>
                <w:rFonts w:eastAsia="方正仿宋简体"/>
                <w:kern w:val="0"/>
                <w:sz w:val="24"/>
              </w:rPr>
            </w:pPr>
            <w:r>
              <w:rPr>
                <w:rFonts w:eastAsia="仿宋"/>
                <w:b/>
                <w:bCs/>
                <w:kern w:val="0"/>
                <w:sz w:val="24"/>
              </w:rPr>
              <w:t>2. 应用前景：</w:t>
            </w:r>
            <w:r>
              <w:rPr>
                <w:rFonts w:eastAsia="仿宋"/>
                <w:kern w:val="0"/>
                <w:sz w:val="24"/>
              </w:rPr>
              <w:t>使用高通量平台进行特征基因表达谱检测，结合网络药理学等技术进行信息挖掘，对治疗重症传染病的中药临床经验方进行全面系统分析，筛选出有效药物基础物质，阐明作用机制，推动中药研发与转化，传承中医药精华，守正创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预期取得的</w:t>
            </w:r>
          </w:p>
          <w:p>
            <w:pPr>
              <w:widowControl/>
              <w:adjustRightInd w:val="0"/>
              <w:spacing w:line="560" w:lineRule="exact"/>
              <w:jc w:val="center"/>
              <w:rPr>
                <w:rFonts w:eastAsia="楷体"/>
                <w:kern w:val="0"/>
                <w:sz w:val="28"/>
                <w:szCs w:val="32"/>
                <w:lang w:val="en-GB"/>
              </w:rPr>
            </w:pPr>
            <w:r>
              <w:rPr>
                <w:rFonts w:eastAsia="楷体"/>
                <w:kern w:val="0"/>
                <w:sz w:val="28"/>
                <w:szCs w:val="32"/>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中药新药研究是中医药发展的重要领域，基于高通量测序和特征基因表达谱的药物筛选与分析方法为促进中药精准化提供可行性方案，对于治疗传染性重症疾病的中医经典方和临床经验方研发具有重要价值，有效开发利用中医药，为人类健康贡献中国智慧和中医药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参赛团队应具有严格规范的科研设计，提供真实可靠的科研数据，基于特征基因表达谱筛选出中药有效物质基础，并阐述作用机制，提交完整的研究报告。</w:t>
            </w:r>
          </w:p>
        </w:tc>
      </w:tr>
    </w:tbl>
    <w:p>
      <w:pPr>
        <w:widowControl/>
        <w:adjustRightInd w:val="0"/>
        <w:snapToGrid w:val="0"/>
        <w:rPr>
          <w:rFonts w:eastAsia="方正黑体简体"/>
          <w:kern w:val="0"/>
          <w:sz w:val="32"/>
          <w:szCs w:val="32"/>
          <w:lang w:val="en-GB"/>
        </w:rPr>
      </w:pPr>
    </w:p>
    <w:p>
      <w:pPr>
        <w:widowControl/>
        <w:adjustRightInd w:val="0"/>
        <w:snapToGrid w:val="0"/>
        <w:rPr>
          <w:rFonts w:eastAsia="黑体"/>
          <w:kern w:val="0"/>
          <w:sz w:val="32"/>
          <w:szCs w:val="32"/>
          <w:lang w:val="en-GB"/>
        </w:rPr>
      </w:pPr>
      <w:r>
        <w:rPr>
          <w:rFonts w:eastAsia="黑体"/>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可为参赛团队提供指导帮助，比如学术咨询，实践调研，提供可供参考的以往相关研究资料等。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择优为获奖团队提供经费资助，安排实习实践和就业岗位。</w:t>
            </w:r>
          </w:p>
        </w:tc>
      </w:tr>
    </w:tbl>
    <w:p>
      <w:pPr>
        <w:widowControl/>
        <w:jc w:val="left"/>
        <w:rPr>
          <w:rFonts w:eastAsia="仿宋_GB2312"/>
          <w:sz w:val="32"/>
          <w:szCs w:val="30"/>
        </w:rPr>
      </w:pPr>
    </w:p>
    <w:sectPr>
      <w:footerReference r:id="rId5"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3DA6B0-5FBE-41FF-8CAC-2757A1429A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97E8B0F-5B82-4351-9B05-9270E83D8B90}"/>
  </w:font>
  <w:font w:name="仿宋">
    <w:panose1 w:val="02010609060101010101"/>
    <w:charset w:val="86"/>
    <w:family w:val="modern"/>
    <w:pitch w:val="default"/>
    <w:sig w:usb0="800002BF" w:usb1="38CF7CFA" w:usb2="00000016" w:usb3="00000000" w:csb0="00040001" w:csb1="00000000"/>
    <w:embedRegular r:id="rId3" w:fontKey="{C4A91AE4-AEC2-446B-99BA-2D05C21BC3E1}"/>
  </w:font>
  <w:font w:name="楷体">
    <w:panose1 w:val="02010609060101010101"/>
    <w:charset w:val="86"/>
    <w:family w:val="modern"/>
    <w:pitch w:val="default"/>
    <w:sig w:usb0="800002BF" w:usb1="38CF7CFA" w:usb2="00000016" w:usb3="00000000" w:csb0="00040001" w:csb1="00000000"/>
    <w:embedRegular r:id="rId4" w:fontKey="{05073C8B-FD17-47A4-9CE7-BE2D6614E09B}"/>
  </w:font>
  <w:font w:name="方正仿宋简体">
    <w:altName w:val="微软雅黑"/>
    <w:panose1 w:val="00000000000000000000"/>
    <w:charset w:val="86"/>
    <w:family w:val="auto"/>
    <w:pitch w:val="default"/>
    <w:sig w:usb0="00000000" w:usb1="00000000" w:usb2="00000012" w:usb3="00000000" w:csb0="00040001" w:csb1="00000000"/>
    <w:embedRegular r:id="rId5" w:fontKey="{E5A41A28-79CE-4CB7-9872-A5EC91418D3A}"/>
  </w:font>
  <w:font w:name="方正黑体简体">
    <w:panose1 w:val="02000000000000000000"/>
    <w:charset w:val="86"/>
    <w:family w:val="auto"/>
    <w:pitch w:val="default"/>
    <w:sig w:usb0="A00002BF" w:usb1="184F6CFA" w:usb2="00000012" w:usb3="00000000" w:csb0="00040001" w:csb1="00000000"/>
    <w:embedRegular r:id="rId6" w:fontKey="{02715CAD-7D98-49A9-90E6-0AF281E9578B}"/>
  </w:font>
  <w:font w:name="方正楷体简体">
    <w:altName w:val="宋体"/>
    <w:panose1 w:val="00000000000000000000"/>
    <w:charset w:val="86"/>
    <w:family w:val="auto"/>
    <w:pitch w:val="default"/>
    <w:sig w:usb0="00000000" w:usb1="00000000" w:usb2="00000010" w:usb3="00000000" w:csb0="00040000" w:csb1="00000000"/>
    <w:embedRegular r:id="rId7" w:fontKey="{5A66ADDE-5539-468D-B7E8-90A221EA5FB7}"/>
  </w:font>
  <w:font w:name="方正小标宋简体">
    <w:altName w:val="微软雅黑"/>
    <w:panose1 w:val="00000000000000000000"/>
    <w:charset w:val="86"/>
    <w:family w:val="auto"/>
    <w:pitch w:val="default"/>
    <w:sig w:usb0="00000000" w:usb1="00000000" w:usb2="00000012" w:usb3="00000000" w:csb0="00160001" w:csb1="12030000"/>
    <w:embedRegular r:id="rId8" w:fontKey="{503AB39F-9190-40F9-AAD6-657E28D1FEF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171" w:lineRule="auto"/>
      <w:ind w:left="4735"/>
      <w:jc w:val="center"/>
      <w:rPr>
        <w:rFonts w:ascii="宋体" w:hAnsi="宋体" w:cs="宋体"/>
        <w:kern w:val="0"/>
        <w:sz w:val="15"/>
        <w:szCs w:val="15"/>
        <w:lang w:val="en-GB"/>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170" w:lineRule="auto"/>
      <w:ind w:left="4634"/>
      <w:jc w:val="center"/>
      <w:rPr>
        <w:rFonts w:ascii="宋体" w:hAnsi="宋体" w:cs="宋体"/>
        <w:kern w:val="0"/>
        <w:sz w:val="15"/>
        <w:szCs w:val="15"/>
        <w:lang w:val="en-GB"/>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73</w:t>
                    </w:r>
                    <w:r>
                      <w:fldChar w:fldCharType="end"/>
                    </w:r>
                  </w:p>
                </w:txbxContent>
              </v:textbox>
            </v:shape>
          </w:pict>
        </mc:Fallback>
      </mc:AlternateContent>
    </w:r>
    <w:r>
      <w:rPr>
        <w:rFonts w:ascii="宋体" w:hAnsi="宋体" w:cs="宋体"/>
        <w:kern w:val="0"/>
        <w:sz w:val="15"/>
        <w:szCs w:val="15"/>
        <w:lang w:val="en-GB"/>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cs="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NWRiOTlmNGZkOGFkYjVkZjY4MTkzNDY4NDQ1ZmMifQ=="/>
  </w:docVars>
  <w:rsids>
    <w:rsidRoot w:val="008A3EE0"/>
    <w:rsid w:val="000D6901"/>
    <w:rsid w:val="00231DCA"/>
    <w:rsid w:val="006313BE"/>
    <w:rsid w:val="007137BF"/>
    <w:rsid w:val="00864B25"/>
    <w:rsid w:val="008A3EE0"/>
    <w:rsid w:val="008E3679"/>
    <w:rsid w:val="009511CC"/>
    <w:rsid w:val="00B34237"/>
    <w:rsid w:val="00BA521B"/>
    <w:rsid w:val="00BA74D7"/>
    <w:rsid w:val="00D746E5"/>
    <w:rsid w:val="00D90AFF"/>
    <w:rsid w:val="05E6619A"/>
    <w:rsid w:val="07AB767A"/>
    <w:rsid w:val="085D716E"/>
    <w:rsid w:val="08982FA7"/>
    <w:rsid w:val="096B77C7"/>
    <w:rsid w:val="0A89133D"/>
    <w:rsid w:val="0C321039"/>
    <w:rsid w:val="0CD41ED5"/>
    <w:rsid w:val="0E124C7E"/>
    <w:rsid w:val="13525B1D"/>
    <w:rsid w:val="14193629"/>
    <w:rsid w:val="15AA1C40"/>
    <w:rsid w:val="19F4649E"/>
    <w:rsid w:val="1A584361"/>
    <w:rsid w:val="1C9D31E1"/>
    <w:rsid w:val="1D18597A"/>
    <w:rsid w:val="1D2049D2"/>
    <w:rsid w:val="1F556DCD"/>
    <w:rsid w:val="204D1ECB"/>
    <w:rsid w:val="20A200E4"/>
    <w:rsid w:val="22405E06"/>
    <w:rsid w:val="266F0A68"/>
    <w:rsid w:val="299342B6"/>
    <w:rsid w:val="2AEC283A"/>
    <w:rsid w:val="2B1B46BE"/>
    <w:rsid w:val="2BA94A1C"/>
    <w:rsid w:val="2CC97C28"/>
    <w:rsid w:val="2E714DC7"/>
    <w:rsid w:val="30784C2A"/>
    <w:rsid w:val="30937A49"/>
    <w:rsid w:val="30E70C22"/>
    <w:rsid w:val="341B6976"/>
    <w:rsid w:val="346577CD"/>
    <w:rsid w:val="348C7E4A"/>
    <w:rsid w:val="36CC15BF"/>
    <w:rsid w:val="396B4DB7"/>
    <w:rsid w:val="39BC591B"/>
    <w:rsid w:val="39E336A1"/>
    <w:rsid w:val="3C594CA6"/>
    <w:rsid w:val="3DC45A90"/>
    <w:rsid w:val="3DD32540"/>
    <w:rsid w:val="3FD06348"/>
    <w:rsid w:val="407A02DD"/>
    <w:rsid w:val="41760AA5"/>
    <w:rsid w:val="425E73E0"/>
    <w:rsid w:val="477A0BC3"/>
    <w:rsid w:val="480F4F98"/>
    <w:rsid w:val="49462D46"/>
    <w:rsid w:val="4A880849"/>
    <w:rsid w:val="4B614574"/>
    <w:rsid w:val="4D8D225A"/>
    <w:rsid w:val="4F8E6A66"/>
    <w:rsid w:val="50597110"/>
    <w:rsid w:val="523429E2"/>
    <w:rsid w:val="52CD22E8"/>
    <w:rsid w:val="53DA5023"/>
    <w:rsid w:val="54385C55"/>
    <w:rsid w:val="55BA4DA3"/>
    <w:rsid w:val="58D84D64"/>
    <w:rsid w:val="5A107B85"/>
    <w:rsid w:val="5A7476F4"/>
    <w:rsid w:val="5B246739"/>
    <w:rsid w:val="5BBE156E"/>
    <w:rsid w:val="5C674959"/>
    <w:rsid w:val="5C7B2F5C"/>
    <w:rsid w:val="5D786D1A"/>
    <w:rsid w:val="5E023F44"/>
    <w:rsid w:val="5FF6E898"/>
    <w:rsid w:val="60D300EA"/>
    <w:rsid w:val="6108335B"/>
    <w:rsid w:val="62BE2F5F"/>
    <w:rsid w:val="64405216"/>
    <w:rsid w:val="6721678C"/>
    <w:rsid w:val="6AC83091"/>
    <w:rsid w:val="6AC97274"/>
    <w:rsid w:val="722515A8"/>
    <w:rsid w:val="727A2772"/>
    <w:rsid w:val="72BF19FC"/>
    <w:rsid w:val="73927111"/>
    <w:rsid w:val="73F531FC"/>
    <w:rsid w:val="74732A9E"/>
    <w:rsid w:val="762027B2"/>
    <w:rsid w:val="76AD6F1C"/>
    <w:rsid w:val="77DC7346"/>
    <w:rsid w:val="79790FE6"/>
    <w:rsid w:val="7A296C72"/>
    <w:rsid w:val="7C127041"/>
    <w:rsid w:val="7C1F1EBF"/>
    <w:rsid w:val="7CA0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b/>
      <w:bCs/>
      <w:sz w:val="27"/>
      <w:szCs w:val="27"/>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pPr>
    <w:rPr>
      <w:rFonts w:ascii="Calibri" w:hAnsi="Calibri"/>
    </w:rPr>
  </w:style>
  <w:style w:type="paragraph" w:styleId="5">
    <w:name w:val="toc 8"/>
    <w:basedOn w:val="1"/>
    <w:next w:val="1"/>
    <w:autoRedefine/>
    <w:semiHidden/>
    <w:qFormat/>
    <w:uiPriority w:val="0"/>
    <w:pPr>
      <w:ind w:left="2940" w:leftChars="1400"/>
    </w:pPr>
    <w:rPr>
      <w:rFonts w:eastAsia="仿宋_GB2312"/>
      <w:sz w:val="32"/>
      <w:szCs w:val="32"/>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Revision"/>
    <w:autoRedefine/>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3247</Words>
  <Characters>18511</Characters>
  <Lines>154</Lines>
  <Paragraphs>43</Paragraphs>
  <TotalTime>1</TotalTime>
  <ScaleCrop>false</ScaleCrop>
  <LinksUpToDate>false</LinksUpToDate>
  <CharactersWithSpaces>21715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2024-04-09T15:08:00Z</dcterms:created>
  <dc:creator>Zequn Xu</dc:creator>
  <cp:lastModifiedBy>亚的斯亚贝巴</cp:lastModifiedBy>
  <cp:lastPrinted>2024-04-02T06:46:00Z</cp:lastPrinted>
  <dcterms:modified xsi:type="dcterms:W3CDTF">2024-04-10T01:07:07Z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6795ECED25034C04A3948F6825DBFBAA_13</vt:lpwstr>
  </property>
  <property fmtid="{D5CDD505-2E9C-101B-9397-08002B2CF9AE}" pid="3" name="KSOProductBuildVer">
    <vt:lpwstr>2052-12.1.0.16388</vt:lpwstr>
  </property>
</Properties>
</file>